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0B8ECE" w14:textId="3878CB35" w:rsidR="003E2D38" w:rsidRPr="00753DED" w:rsidRDefault="003E2D38" w:rsidP="007160FE">
      <w:pPr>
        <w:pStyle w:val="text"/>
        <w:spacing w:before="240" w:after="240" w:line="240" w:lineRule="auto"/>
        <w:jc w:val="center"/>
        <w:rPr>
          <w:rFonts w:ascii="Tahoma" w:hAnsi="Tahoma" w:cs="Tahoma"/>
          <w:b/>
          <w:color w:val="auto"/>
          <w:spacing w:val="0"/>
          <w:sz w:val="28"/>
          <w:szCs w:val="28"/>
        </w:rPr>
      </w:pPr>
      <w:r w:rsidRPr="00753DED">
        <w:rPr>
          <w:rFonts w:ascii="Tahoma" w:hAnsi="Tahoma" w:cs="Tahoma"/>
          <w:b/>
          <w:color w:val="auto"/>
          <w:spacing w:val="0"/>
          <w:sz w:val="28"/>
          <w:szCs w:val="28"/>
        </w:rPr>
        <w:t>Lightwave Community CIO (“Lightwave”)</w:t>
      </w:r>
    </w:p>
    <w:p w14:paraId="06484776" w14:textId="287BE4F7" w:rsidR="007160FE" w:rsidRPr="00753DED" w:rsidRDefault="007160FE" w:rsidP="007160FE">
      <w:pPr>
        <w:pStyle w:val="text"/>
        <w:spacing w:before="240" w:after="240" w:line="240" w:lineRule="auto"/>
        <w:jc w:val="center"/>
        <w:rPr>
          <w:rFonts w:ascii="Tahoma" w:hAnsi="Tahoma" w:cs="Tahoma"/>
          <w:b/>
          <w:color w:val="auto"/>
          <w:spacing w:val="0"/>
          <w:sz w:val="28"/>
          <w:szCs w:val="28"/>
        </w:rPr>
      </w:pPr>
      <w:r w:rsidRPr="00753DED">
        <w:rPr>
          <w:rFonts w:ascii="Tahoma" w:hAnsi="Tahoma" w:cs="Tahoma"/>
          <w:b/>
          <w:color w:val="auto"/>
          <w:spacing w:val="0"/>
          <w:sz w:val="28"/>
          <w:szCs w:val="28"/>
        </w:rPr>
        <w:t>Expenses Policy</w:t>
      </w:r>
    </w:p>
    <w:p w14:paraId="1DEA28A0" w14:textId="77777777" w:rsidR="007160FE" w:rsidRPr="00753DED" w:rsidRDefault="007160FE" w:rsidP="003D1139">
      <w:pPr>
        <w:pStyle w:val="text"/>
        <w:numPr>
          <w:ilvl w:val="0"/>
          <w:numId w:val="4"/>
        </w:numPr>
        <w:spacing w:after="0" w:line="240" w:lineRule="auto"/>
        <w:ind w:left="567" w:hanging="567"/>
        <w:rPr>
          <w:rFonts w:ascii="Tahoma" w:hAnsi="Tahoma" w:cs="Tahoma"/>
          <w:b/>
          <w:color w:val="auto"/>
          <w:spacing w:val="0"/>
        </w:rPr>
      </w:pPr>
      <w:r w:rsidRPr="00753DED">
        <w:rPr>
          <w:rFonts w:ascii="Tahoma" w:hAnsi="Tahoma" w:cs="Tahoma"/>
          <w:b/>
          <w:color w:val="auto"/>
          <w:spacing w:val="0"/>
        </w:rPr>
        <w:t>Introduction</w:t>
      </w:r>
    </w:p>
    <w:p w14:paraId="12E2E0FC" w14:textId="25647729" w:rsidR="003A6FA8" w:rsidRPr="00753DED" w:rsidRDefault="003A6FA8" w:rsidP="003D1139">
      <w:pPr>
        <w:pStyle w:val="text"/>
        <w:numPr>
          <w:ilvl w:val="1"/>
          <w:numId w:val="4"/>
        </w:numPr>
        <w:spacing w:after="0" w:line="240" w:lineRule="auto"/>
        <w:ind w:left="567" w:right="-153" w:hanging="567"/>
        <w:jc w:val="left"/>
        <w:rPr>
          <w:rFonts w:ascii="Tahoma" w:hAnsi="Tahoma" w:cs="Tahoma"/>
          <w:color w:val="auto"/>
          <w:spacing w:val="0"/>
        </w:rPr>
      </w:pPr>
      <w:r w:rsidRPr="00753DED">
        <w:rPr>
          <w:rFonts w:ascii="Tahoma" w:hAnsi="Tahoma" w:cs="Tahoma"/>
          <w:color w:val="auto"/>
          <w:spacing w:val="0"/>
        </w:rPr>
        <w:t xml:space="preserve">This policy applies to any individual who is claiming expenses from </w:t>
      </w:r>
      <w:r w:rsidR="00C360D1" w:rsidRPr="00753DED">
        <w:rPr>
          <w:rFonts w:ascii="Tahoma" w:hAnsi="Tahoma" w:cs="Tahoma"/>
          <w:color w:val="auto"/>
          <w:spacing w:val="0"/>
        </w:rPr>
        <w:t>Lightwave, whether an employee of Lightwave or an associated body (e.g. the St Edmundsbury and Ipswich DBF) and incumbent of the Diocese, or a volunteer</w:t>
      </w:r>
      <w:r w:rsidR="003D1139" w:rsidRPr="00753DED">
        <w:rPr>
          <w:rFonts w:ascii="Tahoma" w:hAnsi="Tahoma" w:cs="Tahoma"/>
          <w:color w:val="auto"/>
          <w:spacing w:val="0"/>
        </w:rPr>
        <w:br/>
      </w:r>
    </w:p>
    <w:p w14:paraId="3B2542CA" w14:textId="53CEE1FD" w:rsidR="004B19BF" w:rsidRPr="00753DED" w:rsidRDefault="004B19BF" w:rsidP="003D1139">
      <w:pPr>
        <w:pStyle w:val="text"/>
        <w:numPr>
          <w:ilvl w:val="1"/>
          <w:numId w:val="4"/>
        </w:numPr>
        <w:spacing w:after="0" w:line="240" w:lineRule="auto"/>
        <w:ind w:left="567" w:right="-153" w:hanging="567"/>
        <w:jc w:val="left"/>
        <w:rPr>
          <w:rFonts w:ascii="Tahoma" w:hAnsi="Tahoma" w:cs="Tahoma"/>
          <w:color w:val="auto"/>
          <w:spacing w:val="0"/>
        </w:rPr>
      </w:pPr>
      <w:r w:rsidRPr="00753DED">
        <w:rPr>
          <w:rFonts w:ascii="Tahoma" w:hAnsi="Tahoma" w:cs="Tahoma"/>
          <w:color w:val="auto"/>
          <w:spacing w:val="0"/>
        </w:rPr>
        <w:t>Expenses incurred by employees</w:t>
      </w:r>
      <w:r w:rsidR="00F8640F" w:rsidRPr="00753DED">
        <w:rPr>
          <w:rFonts w:ascii="Tahoma" w:hAnsi="Tahoma" w:cs="Tahoma"/>
          <w:color w:val="auto"/>
          <w:spacing w:val="0"/>
        </w:rPr>
        <w:t xml:space="preserve"> and volunteers</w:t>
      </w:r>
      <w:r w:rsidRPr="00753DED">
        <w:rPr>
          <w:rFonts w:ascii="Tahoma" w:hAnsi="Tahoma" w:cs="Tahoma"/>
          <w:color w:val="auto"/>
          <w:spacing w:val="0"/>
        </w:rPr>
        <w:t xml:space="preserve"> will be reimbursed in accordance with the following rules, which are designed to provide for the reimbursement of reasonable out-of-pocket expenses wholly, exclusively, necessarily and </w:t>
      </w:r>
      <w:r w:rsidR="007160FE" w:rsidRPr="00753DED">
        <w:rPr>
          <w:rFonts w:ascii="Tahoma" w:hAnsi="Tahoma" w:cs="Tahoma"/>
          <w:color w:val="auto"/>
          <w:spacing w:val="0"/>
        </w:rPr>
        <w:t>incurred</w:t>
      </w:r>
      <w:r w:rsidRPr="00753DED">
        <w:rPr>
          <w:rFonts w:ascii="Tahoma" w:hAnsi="Tahoma" w:cs="Tahoma"/>
          <w:color w:val="auto"/>
          <w:spacing w:val="0"/>
        </w:rPr>
        <w:t xml:space="preserve"> by an employee engaged on the business of </w:t>
      </w:r>
      <w:r w:rsidR="00C360D1" w:rsidRPr="00753DED">
        <w:rPr>
          <w:rFonts w:ascii="Tahoma" w:hAnsi="Tahoma" w:cs="Tahoma"/>
          <w:color w:val="auto"/>
          <w:spacing w:val="0"/>
        </w:rPr>
        <w:t>Lightwave</w:t>
      </w:r>
      <w:r w:rsidRPr="00753DED">
        <w:rPr>
          <w:rFonts w:ascii="Tahoma" w:hAnsi="Tahoma" w:cs="Tahoma"/>
          <w:color w:val="auto"/>
          <w:spacing w:val="0"/>
        </w:rPr>
        <w:t xml:space="preserve">. </w:t>
      </w:r>
      <w:r w:rsidR="003D1139" w:rsidRPr="00753DED">
        <w:rPr>
          <w:rFonts w:ascii="Tahoma" w:hAnsi="Tahoma" w:cs="Tahoma"/>
          <w:color w:val="auto"/>
          <w:spacing w:val="0"/>
        </w:rPr>
        <w:br/>
      </w:r>
    </w:p>
    <w:p w14:paraId="1F800FDC" w14:textId="1A3C3132" w:rsidR="004B19BF" w:rsidRPr="00753DED" w:rsidRDefault="004B19BF" w:rsidP="003D1139">
      <w:pPr>
        <w:pStyle w:val="text"/>
        <w:numPr>
          <w:ilvl w:val="1"/>
          <w:numId w:val="4"/>
        </w:numPr>
        <w:spacing w:after="0" w:line="240" w:lineRule="auto"/>
        <w:ind w:left="567" w:hanging="567"/>
        <w:jc w:val="left"/>
        <w:rPr>
          <w:rFonts w:ascii="Tahoma" w:hAnsi="Tahoma" w:cs="Tahoma"/>
          <w:color w:val="auto"/>
          <w:spacing w:val="0"/>
        </w:rPr>
      </w:pPr>
      <w:r w:rsidRPr="00753DED">
        <w:rPr>
          <w:rFonts w:ascii="Tahoma" w:hAnsi="Tahoma" w:cs="Tahoma"/>
          <w:color w:val="auto"/>
          <w:spacing w:val="0"/>
        </w:rPr>
        <w:t>This policy does not form part of any employee’s contract of employment and may be amended at any time.</w:t>
      </w:r>
      <w:r w:rsidR="003D1139" w:rsidRPr="00753DED">
        <w:rPr>
          <w:rFonts w:ascii="Tahoma" w:hAnsi="Tahoma" w:cs="Tahoma"/>
          <w:color w:val="auto"/>
          <w:spacing w:val="0"/>
        </w:rPr>
        <w:br/>
      </w:r>
    </w:p>
    <w:p w14:paraId="0EED218C" w14:textId="77777777" w:rsidR="004B19BF" w:rsidRPr="00753DED" w:rsidRDefault="004B19BF" w:rsidP="003D1139">
      <w:pPr>
        <w:pStyle w:val="text"/>
        <w:numPr>
          <w:ilvl w:val="0"/>
          <w:numId w:val="4"/>
        </w:numPr>
        <w:spacing w:after="0" w:line="240" w:lineRule="auto"/>
        <w:ind w:left="567" w:hanging="567"/>
        <w:jc w:val="left"/>
        <w:rPr>
          <w:rFonts w:ascii="Tahoma" w:hAnsi="Tahoma" w:cs="Tahoma"/>
          <w:b/>
          <w:color w:val="auto"/>
          <w:spacing w:val="0"/>
        </w:rPr>
      </w:pPr>
      <w:r w:rsidRPr="00753DED">
        <w:rPr>
          <w:rFonts w:ascii="Tahoma" w:hAnsi="Tahoma" w:cs="Tahoma"/>
          <w:b/>
          <w:color w:val="auto"/>
          <w:spacing w:val="0"/>
        </w:rPr>
        <w:t>Reimbursement of expenses</w:t>
      </w:r>
    </w:p>
    <w:p w14:paraId="3A2CBB4C" w14:textId="4C3D3A29" w:rsidR="004B19BF" w:rsidRPr="00753DED" w:rsidRDefault="00C360D1" w:rsidP="003D1139">
      <w:pPr>
        <w:pStyle w:val="text"/>
        <w:numPr>
          <w:ilvl w:val="1"/>
          <w:numId w:val="4"/>
        </w:numPr>
        <w:spacing w:after="0" w:line="240" w:lineRule="auto"/>
        <w:ind w:left="567" w:hanging="567"/>
        <w:jc w:val="left"/>
        <w:rPr>
          <w:rFonts w:ascii="Tahoma" w:hAnsi="Tahoma" w:cs="Tahoma"/>
          <w:color w:val="auto"/>
          <w:spacing w:val="0"/>
        </w:rPr>
      </w:pPr>
      <w:r w:rsidRPr="00753DED">
        <w:rPr>
          <w:rFonts w:ascii="Tahoma" w:hAnsi="Tahoma" w:cs="Tahoma"/>
          <w:color w:val="auto"/>
          <w:spacing w:val="0"/>
        </w:rPr>
        <w:t>Lightwave</w:t>
      </w:r>
      <w:r w:rsidR="004B19BF" w:rsidRPr="00753DED">
        <w:rPr>
          <w:rFonts w:ascii="Tahoma" w:hAnsi="Tahoma" w:cs="Tahoma"/>
          <w:color w:val="auto"/>
          <w:spacing w:val="0"/>
        </w:rPr>
        <w:t xml:space="preserve"> will reimburse expenses properly incurred in accordance with this policy.  Any attempt to claim expenses fraudulently or in breach of this policy may result in disciplinary action. </w:t>
      </w:r>
      <w:r w:rsidR="003D1139" w:rsidRPr="00753DED">
        <w:rPr>
          <w:rFonts w:ascii="Tahoma" w:hAnsi="Tahoma" w:cs="Tahoma"/>
          <w:color w:val="auto"/>
          <w:spacing w:val="0"/>
        </w:rPr>
        <w:br/>
      </w:r>
    </w:p>
    <w:p w14:paraId="611A185E" w14:textId="77777777" w:rsidR="004B19BF" w:rsidRPr="00753DED" w:rsidRDefault="004B19BF" w:rsidP="003D1139">
      <w:pPr>
        <w:pStyle w:val="text"/>
        <w:numPr>
          <w:ilvl w:val="1"/>
          <w:numId w:val="4"/>
        </w:numPr>
        <w:spacing w:after="0" w:line="240" w:lineRule="auto"/>
        <w:ind w:left="567" w:hanging="567"/>
        <w:jc w:val="left"/>
        <w:rPr>
          <w:rFonts w:ascii="Tahoma" w:hAnsi="Tahoma" w:cs="Tahoma"/>
          <w:color w:val="auto"/>
          <w:spacing w:val="0"/>
        </w:rPr>
      </w:pPr>
      <w:r w:rsidRPr="00753DED">
        <w:rPr>
          <w:rFonts w:ascii="Tahoma" w:hAnsi="Tahoma" w:cs="Tahoma"/>
          <w:color w:val="auto"/>
          <w:spacing w:val="0"/>
        </w:rPr>
        <w:t>Expenses will only be reimbursed if they are:</w:t>
      </w:r>
    </w:p>
    <w:p w14:paraId="4125AC1C" w14:textId="482F3F63" w:rsidR="004B19BF" w:rsidRPr="00753DED" w:rsidRDefault="004B19BF" w:rsidP="00C360D1">
      <w:pPr>
        <w:pStyle w:val="text"/>
        <w:numPr>
          <w:ilvl w:val="0"/>
          <w:numId w:val="3"/>
        </w:numPr>
        <w:spacing w:before="60" w:after="60" w:line="240" w:lineRule="auto"/>
        <w:ind w:left="1134" w:hanging="567"/>
        <w:jc w:val="left"/>
        <w:rPr>
          <w:rFonts w:ascii="Tahoma" w:hAnsi="Tahoma" w:cs="Tahoma"/>
          <w:color w:val="auto"/>
          <w:spacing w:val="0"/>
        </w:rPr>
      </w:pPr>
      <w:r w:rsidRPr="00753DED">
        <w:rPr>
          <w:rFonts w:ascii="Tahoma" w:hAnsi="Tahoma" w:cs="Tahoma"/>
          <w:color w:val="auto"/>
          <w:spacing w:val="0"/>
        </w:rPr>
        <w:t xml:space="preserve">set out on a signed </w:t>
      </w:r>
      <w:r w:rsidR="00C360D1" w:rsidRPr="00753DED">
        <w:rPr>
          <w:rFonts w:ascii="Tahoma" w:hAnsi="Tahoma" w:cs="Tahoma"/>
          <w:color w:val="auto"/>
          <w:spacing w:val="0"/>
        </w:rPr>
        <w:t xml:space="preserve">Lightwave </w:t>
      </w:r>
      <w:r w:rsidRPr="00753DED">
        <w:rPr>
          <w:rFonts w:ascii="Tahoma" w:hAnsi="Tahoma" w:cs="Tahoma"/>
          <w:color w:val="auto"/>
          <w:spacing w:val="0"/>
        </w:rPr>
        <w:t xml:space="preserve">claim form and submitted for authorisation to your </w:t>
      </w:r>
      <w:r w:rsidR="007160FE" w:rsidRPr="00753DED">
        <w:rPr>
          <w:rFonts w:ascii="Tahoma" w:hAnsi="Tahoma" w:cs="Tahoma"/>
          <w:color w:val="auto"/>
          <w:spacing w:val="0"/>
        </w:rPr>
        <w:t xml:space="preserve">Line </w:t>
      </w:r>
      <w:r w:rsidR="00C9216C" w:rsidRPr="00753DED">
        <w:rPr>
          <w:rFonts w:ascii="Tahoma" w:hAnsi="Tahoma" w:cs="Tahoma"/>
          <w:color w:val="auto"/>
          <w:spacing w:val="0"/>
        </w:rPr>
        <w:t>Manager.</w:t>
      </w:r>
    </w:p>
    <w:p w14:paraId="5D487F78" w14:textId="77777777" w:rsidR="004B19BF" w:rsidRPr="00753DED" w:rsidRDefault="004B19BF" w:rsidP="00C360D1">
      <w:pPr>
        <w:pStyle w:val="text"/>
        <w:numPr>
          <w:ilvl w:val="0"/>
          <w:numId w:val="3"/>
        </w:numPr>
        <w:spacing w:before="60" w:after="60" w:line="240" w:lineRule="auto"/>
        <w:ind w:left="1134" w:hanging="567"/>
        <w:jc w:val="left"/>
        <w:rPr>
          <w:rFonts w:ascii="Tahoma" w:hAnsi="Tahoma" w:cs="Tahoma"/>
          <w:color w:val="auto"/>
          <w:spacing w:val="0"/>
        </w:rPr>
      </w:pPr>
      <w:r w:rsidRPr="00753DED">
        <w:rPr>
          <w:rFonts w:ascii="Tahoma" w:hAnsi="Tahoma" w:cs="Tahoma"/>
          <w:color w:val="auto"/>
          <w:spacing w:val="0"/>
        </w:rPr>
        <w:t>submitte</w:t>
      </w:r>
      <w:r w:rsidR="009B6EA3" w:rsidRPr="00753DED">
        <w:rPr>
          <w:rFonts w:ascii="Tahoma" w:hAnsi="Tahoma" w:cs="Tahoma"/>
          <w:color w:val="auto"/>
          <w:spacing w:val="0"/>
        </w:rPr>
        <w:t xml:space="preserve">d promptly after being incurred; within the same month where possible and </w:t>
      </w:r>
      <w:r w:rsidR="00E312D0" w:rsidRPr="00753DED">
        <w:rPr>
          <w:rFonts w:ascii="Tahoma" w:hAnsi="Tahoma" w:cs="Tahoma"/>
          <w:color w:val="auto"/>
          <w:spacing w:val="0"/>
        </w:rPr>
        <w:t>no later than 3 months.</w:t>
      </w:r>
    </w:p>
    <w:p w14:paraId="414EFB81" w14:textId="77777777" w:rsidR="004B19BF" w:rsidRPr="00753DED" w:rsidRDefault="004B19BF" w:rsidP="00C360D1">
      <w:pPr>
        <w:pStyle w:val="text"/>
        <w:numPr>
          <w:ilvl w:val="0"/>
          <w:numId w:val="3"/>
        </w:numPr>
        <w:spacing w:before="60" w:after="60" w:line="240" w:lineRule="auto"/>
        <w:ind w:left="1134" w:hanging="567"/>
        <w:jc w:val="left"/>
        <w:rPr>
          <w:rFonts w:ascii="Tahoma" w:hAnsi="Tahoma" w:cs="Tahoma"/>
          <w:color w:val="auto"/>
          <w:spacing w:val="0"/>
        </w:rPr>
      </w:pPr>
      <w:r w:rsidRPr="00753DED">
        <w:rPr>
          <w:rFonts w:ascii="Tahoma" w:hAnsi="Tahoma" w:cs="Tahoma"/>
          <w:color w:val="auto"/>
          <w:spacing w:val="0"/>
        </w:rPr>
        <w:t>supported by relevant documents (for example, VAT receipts, tickets and credit or debit card slips); and</w:t>
      </w:r>
    </w:p>
    <w:p w14:paraId="0E1366B2" w14:textId="6C5330D9" w:rsidR="00656E1C" w:rsidRPr="00753DED" w:rsidRDefault="004B19BF" w:rsidP="00C360D1">
      <w:pPr>
        <w:pStyle w:val="text"/>
        <w:numPr>
          <w:ilvl w:val="0"/>
          <w:numId w:val="3"/>
        </w:numPr>
        <w:spacing w:before="60" w:after="60" w:line="240" w:lineRule="auto"/>
        <w:ind w:left="1134" w:hanging="567"/>
        <w:jc w:val="left"/>
        <w:rPr>
          <w:rFonts w:ascii="Tahoma" w:hAnsi="Tahoma" w:cs="Tahoma"/>
          <w:color w:val="auto"/>
          <w:spacing w:val="0"/>
        </w:rPr>
      </w:pPr>
      <w:r w:rsidRPr="00753DED">
        <w:rPr>
          <w:rFonts w:ascii="Tahoma" w:hAnsi="Tahoma" w:cs="Tahoma"/>
          <w:color w:val="auto"/>
          <w:spacing w:val="0"/>
        </w:rPr>
        <w:t>with a full description of the expense incurred and why it was necessary in relation to your work duties.</w:t>
      </w:r>
    </w:p>
    <w:p w14:paraId="74BC2EED" w14:textId="03FF33BC" w:rsidR="00A825B4" w:rsidRPr="00753DED" w:rsidRDefault="00A25363" w:rsidP="00C360D1">
      <w:pPr>
        <w:pStyle w:val="text"/>
        <w:numPr>
          <w:ilvl w:val="1"/>
          <w:numId w:val="4"/>
        </w:numPr>
        <w:spacing w:after="0" w:line="240" w:lineRule="auto"/>
        <w:ind w:left="567" w:hanging="567"/>
        <w:jc w:val="left"/>
        <w:rPr>
          <w:rFonts w:ascii="Tahoma" w:hAnsi="Tahoma" w:cs="Tahoma"/>
          <w:color w:val="auto"/>
          <w:spacing w:val="0"/>
        </w:rPr>
      </w:pPr>
      <w:r w:rsidRPr="00753DED">
        <w:rPr>
          <w:rFonts w:ascii="Tahoma" w:hAnsi="Tahoma" w:cs="Tahoma"/>
          <w:color w:val="auto"/>
          <w:spacing w:val="0"/>
        </w:rPr>
        <w:t xml:space="preserve">Any expenses without proof or purchase/receipt will not be paid, except in exceptional circumstances and approved by the </w:t>
      </w:r>
      <w:r w:rsidR="00C360D1" w:rsidRPr="00753DED">
        <w:rPr>
          <w:rFonts w:ascii="Tahoma" w:hAnsi="Tahoma" w:cs="Tahoma"/>
          <w:color w:val="auto"/>
          <w:spacing w:val="0"/>
        </w:rPr>
        <w:t>Leader of Lightwave</w:t>
      </w:r>
      <w:r w:rsidR="00753DED">
        <w:rPr>
          <w:rFonts w:ascii="Tahoma" w:hAnsi="Tahoma" w:cs="Tahoma"/>
          <w:color w:val="auto"/>
          <w:spacing w:val="0"/>
        </w:rPr>
        <w:t>, Sally Gaze</w:t>
      </w:r>
      <w:r w:rsidR="00C360D1" w:rsidRPr="00753DED">
        <w:rPr>
          <w:rFonts w:ascii="Tahoma" w:hAnsi="Tahoma" w:cs="Tahoma"/>
          <w:color w:val="auto"/>
          <w:spacing w:val="0"/>
        </w:rPr>
        <w:t xml:space="preserve"> and the Lightwave Treasurer</w:t>
      </w:r>
      <w:r w:rsidR="00753DED">
        <w:rPr>
          <w:rFonts w:ascii="Tahoma" w:hAnsi="Tahoma" w:cs="Tahoma"/>
          <w:color w:val="auto"/>
          <w:spacing w:val="0"/>
        </w:rPr>
        <w:t>, Andrew Gosden.</w:t>
      </w:r>
      <w:r w:rsidR="003D1139" w:rsidRPr="00753DED">
        <w:rPr>
          <w:rFonts w:ascii="Tahoma" w:hAnsi="Tahoma" w:cs="Tahoma"/>
          <w:color w:val="auto"/>
          <w:spacing w:val="0"/>
        </w:rPr>
        <w:br/>
      </w:r>
    </w:p>
    <w:p w14:paraId="7261417E" w14:textId="5358E4B8" w:rsidR="004B19BF" w:rsidRPr="00753DED" w:rsidRDefault="00C360D1" w:rsidP="003D1139">
      <w:pPr>
        <w:pStyle w:val="text"/>
        <w:numPr>
          <w:ilvl w:val="1"/>
          <w:numId w:val="4"/>
        </w:numPr>
        <w:spacing w:after="0" w:line="240" w:lineRule="auto"/>
        <w:ind w:left="567" w:hanging="567"/>
        <w:jc w:val="left"/>
        <w:rPr>
          <w:rFonts w:ascii="Tahoma" w:hAnsi="Tahoma" w:cs="Tahoma"/>
          <w:color w:val="auto"/>
          <w:spacing w:val="0"/>
        </w:rPr>
      </w:pPr>
      <w:r w:rsidRPr="00753DED">
        <w:rPr>
          <w:rFonts w:ascii="Tahoma" w:hAnsi="Tahoma" w:cs="Tahoma"/>
          <w:color w:val="auto"/>
          <w:spacing w:val="0"/>
        </w:rPr>
        <w:t>Lightwave</w:t>
      </w:r>
      <w:r w:rsidR="004B19BF" w:rsidRPr="00753DED">
        <w:rPr>
          <w:rFonts w:ascii="Tahoma" w:hAnsi="Tahoma" w:cs="Tahoma"/>
          <w:color w:val="auto"/>
          <w:spacing w:val="0"/>
        </w:rPr>
        <w:t xml:space="preserve"> does not </w:t>
      </w:r>
      <w:r w:rsidR="00E312D0" w:rsidRPr="00753DED">
        <w:rPr>
          <w:rFonts w:ascii="Tahoma" w:hAnsi="Tahoma" w:cs="Tahoma"/>
          <w:color w:val="auto"/>
          <w:spacing w:val="0"/>
        </w:rPr>
        <w:t xml:space="preserve">pay </w:t>
      </w:r>
      <w:r w:rsidR="004B19BF" w:rsidRPr="00753DED">
        <w:rPr>
          <w:rFonts w:ascii="Tahoma" w:hAnsi="Tahoma" w:cs="Tahoma"/>
          <w:color w:val="auto"/>
          <w:spacing w:val="0"/>
        </w:rPr>
        <w:t>advance</w:t>
      </w:r>
      <w:r w:rsidR="00E312D0" w:rsidRPr="00753DED">
        <w:rPr>
          <w:rFonts w:ascii="Tahoma" w:hAnsi="Tahoma" w:cs="Tahoma"/>
          <w:color w:val="auto"/>
          <w:spacing w:val="0"/>
        </w:rPr>
        <w:t>s for</w:t>
      </w:r>
      <w:r w:rsidR="004B19BF" w:rsidRPr="00753DED">
        <w:rPr>
          <w:rFonts w:ascii="Tahoma" w:hAnsi="Tahoma" w:cs="Tahoma"/>
          <w:color w:val="auto"/>
          <w:spacing w:val="0"/>
        </w:rPr>
        <w:t xml:space="preserve"> expenses.</w:t>
      </w:r>
      <w:r w:rsidR="003D1139" w:rsidRPr="00753DED">
        <w:rPr>
          <w:rFonts w:ascii="Tahoma" w:hAnsi="Tahoma" w:cs="Tahoma"/>
          <w:color w:val="auto"/>
          <w:spacing w:val="0"/>
        </w:rPr>
        <w:br/>
      </w:r>
      <w:r w:rsidR="003D1139" w:rsidRPr="00753DED">
        <w:rPr>
          <w:rFonts w:ascii="Tahoma" w:hAnsi="Tahoma" w:cs="Tahoma"/>
          <w:color w:val="auto"/>
          <w:spacing w:val="0"/>
        </w:rPr>
        <w:br/>
      </w:r>
    </w:p>
    <w:p w14:paraId="181A614F" w14:textId="77777777" w:rsidR="004B19BF" w:rsidRPr="00753DED" w:rsidRDefault="004B19BF" w:rsidP="003D1139">
      <w:pPr>
        <w:pStyle w:val="Subtitle2"/>
        <w:keepNext w:val="0"/>
        <w:numPr>
          <w:ilvl w:val="0"/>
          <w:numId w:val="4"/>
        </w:numPr>
        <w:spacing w:before="0" w:after="0" w:line="240" w:lineRule="auto"/>
        <w:ind w:left="567" w:hanging="567"/>
        <w:jc w:val="both"/>
        <w:rPr>
          <w:rFonts w:ascii="Tahoma" w:hAnsi="Tahoma" w:cs="Tahoma"/>
          <w:color w:val="auto"/>
          <w:sz w:val="22"/>
          <w:szCs w:val="22"/>
        </w:rPr>
      </w:pPr>
      <w:r w:rsidRPr="00753DED">
        <w:rPr>
          <w:rFonts w:ascii="Tahoma" w:hAnsi="Tahoma" w:cs="Tahoma"/>
          <w:color w:val="auto"/>
          <w:sz w:val="22"/>
          <w:szCs w:val="22"/>
        </w:rPr>
        <w:t>Travel expenses</w:t>
      </w:r>
    </w:p>
    <w:p w14:paraId="5BFDE454" w14:textId="5A6DD495" w:rsidR="004B19BF" w:rsidRPr="00753DED" w:rsidRDefault="00C360D1" w:rsidP="003D1139">
      <w:pPr>
        <w:pStyle w:val="text"/>
        <w:numPr>
          <w:ilvl w:val="1"/>
          <w:numId w:val="4"/>
        </w:numPr>
        <w:spacing w:after="0" w:line="240" w:lineRule="auto"/>
        <w:ind w:left="567" w:hanging="567"/>
        <w:jc w:val="left"/>
        <w:rPr>
          <w:rFonts w:ascii="Tahoma" w:hAnsi="Tahoma" w:cs="Tahoma"/>
          <w:color w:val="auto"/>
          <w:spacing w:val="0"/>
        </w:rPr>
      </w:pPr>
      <w:r w:rsidRPr="00753DED">
        <w:rPr>
          <w:rFonts w:ascii="Tahoma" w:hAnsi="Tahoma" w:cs="Tahoma"/>
          <w:color w:val="auto"/>
          <w:spacing w:val="0"/>
        </w:rPr>
        <w:t>Lightwave</w:t>
      </w:r>
      <w:r w:rsidR="007160FE" w:rsidRPr="00753DED">
        <w:rPr>
          <w:rFonts w:ascii="Tahoma" w:hAnsi="Tahoma" w:cs="Tahoma"/>
          <w:color w:val="auto"/>
          <w:spacing w:val="0"/>
        </w:rPr>
        <w:t xml:space="preserve"> </w:t>
      </w:r>
      <w:r w:rsidR="004B19BF" w:rsidRPr="00753DED">
        <w:rPr>
          <w:rFonts w:ascii="Tahoma" w:hAnsi="Tahoma" w:cs="Tahoma"/>
          <w:color w:val="auto"/>
          <w:spacing w:val="0"/>
        </w:rPr>
        <w:t xml:space="preserve">will reimburse traveling expenses necessarily incurred for </w:t>
      </w:r>
      <w:r w:rsidRPr="00753DED">
        <w:rPr>
          <w:rFonts w:ascii="Tahoma" w:hAnsi="Tahoma" w:cs="Tahoma"/>
          <w:color w:val="auto"/>
          <w:spacing w:val="0"/>
        </w:rPr>
        <w:t xml:space="preserve">Lightwave </w:t>
      </w:r>
      <w:r w:rsidR="004B19BF" w:rsidRPr="00753DED">
        <w:rPr>
          <w:rFonts w:ascii="Tahoma" w:hAnsi="Tahoma" w:cs="Tahoma"/>
          <w:color w:val="auto"/>
          <w:spacing w:val="0"/>
        </w:rPr>
        <w:t xml:space="preserve">purposes.  This is generally limited to the cost of travel from </w:t>
      </w:r>
      <w:r w:rsidRPr="00753DED">
        <w:rPr>
          <w:rFonts w:ascii="Tahoma" w:hAnsi="Tahoma" w:cs="Tahoma"/>
          <w:color w:val="auto"/>
          <w:spacing w:val="0"/>
        </w:rPr>
        <w:t xml:space="preserve">the employee’s place of work or volunteer’s home </w:t>
      </w:r>
      <w:r w:rsidR="004B19BF" w:rsidRPr="00753DED">
        <w:rPr>
          <w:rFonts w:ascii="Tahoma" w:hAnsi="Tahoma" w:cs="Tahoma"/>
          <w:color w:val="auto"/>
          <w:spacing w:val="0"/>
        </w:rPr>
        <w:t>to the destination and return.  Journeys between an employee’s home and normal place of work do not constitute business travel and may not be claimed unless your normal contractual place of work is your own home, in which case journeys to the office may be claimed.</w:t>
      </w:r>
      <w:r w:rsidR="003D1139" w:rsidRPr="00753DED">
        <w:rPr>
          <w:rFonts w:ascii="Tahoma" w:hAnsi="Tahoma" w:cs="Tahoma"/>
          <w:color w:val="auto"/>
          <w:spacing w:val="0"/>
        </w:rPr>
        <w:br/>
      </w:r>
    </w:p>
    <w:p w14:paraId="362D6014" w14:textId="57A5BD7D" w:rsidR="00A825B4" w:rsidRPr="00753DED" w:rsidRDefault="004B19BF" w:rsidP="003D1139">
      <w:pPr>
        <w:pStyle w:val="text"/>
        <w:numPr>
          <w:ilvl w:val="1"/>
          <w:numId w:val="4"/>
        </w:numPr>
        <w:spacing w:after="0" w:line="240" w:lineRule="auto"/>
        <w:ind w:left="567" w:hanging="567"/>
        <w:jc w:val="left"/>
        <w:rPr>
          <w:rFonts w:ascii="Tahoma" w:hAnsi="Tahoma" w:cs="Tahoma"/>
          <w:color w:val="auto"/>
          <w:spacing w:val="0"/>
        </w:rPr>
      </w:pPr>
      <w:r w:rsidRPr="00753DED">
        <w:rPr>
          <w:rFonts w:ascii="Tahoma" w:hAnsi="Tahoma" w:cs="Tahoma"/>
          <w:color w:val="auto"/>
          <w:spacing w:val="0"/>
        </w:rPr>
        <w:lastRenderedPageBreak/>
        <w:t>The most economic means of travel should be chosen if practicable and you should use existing travelcards or se</w:t>
      </w:r>
      <w:r w:rsidR="00656E1C" w:rsidRPr="00753DED">
        <w:rPr>
          <w:rFonts w:ascii="Tahoma" w:hAnsi="Tahoma" w:cs="Tahoma"/>
          <w:color w:val="auto"/>
          <w:spacing w:val="0"/>
        </w:rPr>
        <w:t>ason tickets wherever possible.</w:t>
      </w:r>
      <w:r w:rsidR="003D1139" w:rsidRPr="00753DED">
        <w:rPr>
          <w:rFonts w:ascii="Tahoma" w:hAnsi="Tahoma" w:cs="Tahoma"/>
          <w:color w:val="auto"/>
          <w:spacing w:val="0"/>
        </w:rPr>
        <w:br/>
      </w:r>
    </w:p>
    <w:p w14:paraId="05CBB8E2" w14:textId="77777777" w:rsidR="004B19BF" w:rsidRPr="00753DED" w:rsidRDefault="004B19BF" w:rsidP="003D1139">
      <w:pPr>
        <w:pStyle w:val="text"/>
        <w:numPr>
          <w:ilvl w:val="1"/>
          <w:numId w:val="4"/>
        </w:numPr>
        <w:spacing w:after="0" w:line="240" w:lineRule="auto"/>
        <w:ind w:left="567" w:hanging="567"/>
        <w:rPr>
          <w:rFonts w:ascii="Tahoma" w:hAnsi="Tahoma" w:cs="Tahoma"/>
          <w:color w:val="auto"/>
          <w:spacing w:val="0"/>
        </w:rPr>
      </w:pPr>
      <w:r w:rsidRPr="00753DED">
        <w:rPr>
          <w:rFonts w:ascii="Tahoma" w:hAnsi="Tahoma" w:cs="Tahoma"/>
          <w:color w:val="auto"/>
          <w:spacing w:val="0"/>
        </w:rPr>
        <w:t>The following rates will apply:</w:t>
      </w:r>
    </w:p>
    <w:p w14:paraId="738072DE" w14:textId="3576AB12" w:rsidR="004B19BF" w:rsidRPr="00753DED" w:rsidRDefault="004B19BF" w:rsidP="00C360D1">
      <w:pPr>
        <w:pStyle w:val="text"/>
        <w:numPr>
          <w:ilvl w:val="0"/>
          <w:numId w:val="3"/>
        </w:numPr>
        <w:spacing w:before="60" w:after="60" w:line="240" w:lineRule="auto"/>
        <w:ind w:left="851" w:hanging="283"/>
        <w:jc w:val="left"/>
        <w:rPr>
          <w:rFonts w:ascii="Tahoma" w:hAnsi="Tahoma" w:cs="Tahoma"/>
          <w:color w:val="auto"/>
          <w:spacing w:val="0"/>
        </w:rPr>
      </w:pPr>
      <w:r w:rsidRPr="00753DED">
        <w:rPr>
          <w:rFonts w:ascii="Tahoma" w:hAnsi="Tahoma" w:cs="Tahoma"/>
          <w:color w:val="auto"/>
          <w:spacing w:val="0"/>
        </w:rPr>
        <w:t xml:space="preserve">Where it is cost effective for you to use your car for business travel, and you have been authorised to do so (or are an “essential car user”), you can claim a mileage allowance on proof of mileage.  Details of the current mileage rates can be obtained from the </w:t>
      </w:r>
      <w:r w:rsidR="00C360D1" w:rsidRPr="00753DED">
        <w:rPr>
          <w:rFonts w:ascii="Tahoma" w:hAnsi="Tahoma" w:cs="Tahoma"/>
          <w:color w:val="auto"/>
          <w:spacing w:val="0"/>
        </w:rPr>
        <w:t>Lightwave Treasurer</w:t>
      </w:r>
      <w:r w:rsidR="00BB121C" w:rsidRPr="00753DED">
        <w:rPr>
          <w:rFonts w:ascii="Tahoma" w:hAnsi="Tahoma" w:cs="Tahoma"/>
          <w:color w:val="auto"/>
          <w:spacing w:val="0"/>
        </w:rPr>
        <w:t xml:space="preserve"> and</w:t>
      </w:r>
      <w:r w:rsidRPr="00753DED">
        <w:rPr>
          <w:rFonts w:ascii="Tahoma" w:hAnsi="Tahoma" w:cs="Tahoma"/>
          <w:color w:val="auto"/>
          <w:spacing w:val="0"/>
        </w:rPr>
        <w:t xml:space="preserve"> may be amended from time to time.  You can also claim for any necessary parking costs which must be supported by a receipt or the display ticket.   Your car must be comprehensively insured for use while on </w:t>
      </w:r>
      <w:r w:rsidR="00C360D1" w:rsidRPr="00753DED">
        <w:rPr>
          <w:rFonts w:ascii="Tahoma" w:hAnsi="Tahoma" w:cs="Tahoma"/>
          <w:color w:val="auto"/>
          <w:spacing w:val="0"/>
        </w:rPr>
        <w:t>Lightwave</w:t>
      </w:r>
      <w:r w:rsidRPr="00753DED">
        <w:rPr>
          <w:rFonts w:ascii="Tahoma" w:hAnsi="Tahoma" w:cs="Tahoma"/>
          <w:color w:val="auto"/>
          <w:spacing w:val="0"/>
        </w:rPr>
        <w:t xml:space="preserve"> business. </w:t>
      </w:r>
    </w:p>
    <w:p w14:paraId="21C39467" w14:textId="060B6EF8" w:rsidR="004B19BF" w:rsidRPr="00753DED" w:rsidRDefault="004B19BF" w:rsidP="00C360D1">
      <w:pPr>
        <w:pStyle w:val="text"/>
        <w:numPr>
          <w:ilvl w:val="0"/>
          <w:numId w:val="3"/>
        </w:numPr>
        <w:spacing w:before="60" w:after="60" w:line="240" w:lineRule="auto"/>
        <w:ind w:left="851" w:hanging="283"/>
        <w:jc w:val="left"/>
        <w:rPr>
          <w:rFonts w:ascii="Tahoma" w:hAnsi="Tahoma" w:cs="Tahoma"/>
          <w:color w:val="auto"/>
          <w:spacing w:val="0"/>
        </w:rPr>
      </w:pPr>
      <w:r w:rsidRPr="00753DED">
        <w:rPr>
          <w:rFonts w:ascii="Tahoma" w:hAnsi="Tahoma" w:cs="Tahoma"/>
          <w:color w:val="auto"/>
          <w:spacing w:val="0"/>
        </w:rPr>
        <w:t xml:space="preserve">If you have a </w:t>
      </w:r>
      <w:r w:rsidR="00C360D1" w:rsidRPr="00753DED">
        <w:rPr>
          <w:rFonts w:ascii="Tahoma" w:hAnsi="Tahoma" w:cs="Tahoma"/>
          <w:color w:val="auto"/>
          <w:spacing w:val="0"/>
        </w:rPr>
        <w:t>car owned by Lightwave or by another associated organisation</w:t>
      </w:r>
      <w:r w:rsidRPr="00753DED">
        <w:rPr>
          <w:rFonts w:ascii="Tahoma" w:hAnsi="Tahoma" w:cs="Tahoma"/>
          <w:color w:val="auto"/>
          <w:spacing w:val="0"/>
        </w:rPr>
        <w:t xml:space="preserve">, you may claim the cost of fuel you have used in connection with </w:t>
      </w:r>
      <w:r w:rsidR="00C360D1" w:rsidRPr="00753DED">
        <w:rPr>
          <w:rFonts w:ascii="Tahoma" w:hAnsi="Tahoma" w:cs="Tahoma"/>
          <w:color w:val="auto"/>
          <w:spacing w:val="0"/>
        </w:rPr>
        <w:t>Lightwave</w:t>
      </w:r>
      <w:r w:rsidR="007160FE" w:rsidRPr="00753DED">
        <w:rPr>
          <w:rFonts w:ascii="Tahoma" w:hAnsi="Tahoma" w:cs="Tahoma"/>
          <w:color w:val="auto"/>
          <w:spacing w:val="0"/>
        </w:rPr>
        <w:t xml:space="preserve">’s </w:t>
      </w:r>
      <w:r w:rsidRPr="00753DED">
        <w:rPr>
          <w:rFonts w:ascii="Tahoma" w:hAnsi="Tahoma" w:cs="Tahoma"/>
          <w:color w:val="auto"/>
          <w:spacing w:val="0"/>
        </w:rPr>
        <w:t>business.</w:t>
      </w:r>
    </w:p>
    <w:p w14:paraId="672100AB" w14:textId="74E68C99" w:rsidR="004B19BF" w:rsidRPr="00753DED" w:rsidRDefault="00C360D1" w:rsidP="00C360D1">
      <w:pPr>
        <w:pStyle w:val="text"/>
        <w:numPr>
          <w:ilvl w:val="0"/>
          <w:numId w:val="3"/>
        </w:numPr>
        <w:spacing w:before="60" w:after="60" w:line="240" w:lineRule="auto"/>
        <w:ind w:left="851" w:hanging="283"/>
        <w:jc w:val="left"/>
        <w:rPr>
          <w:rFonts w:ascii="Tahoma" w:hAnsi="Tahoma" w:cs="Tahoma"/>
          <w:color w:val="auto"/>
          <w:spacing w:val="0"/>
        </w:rPr>
      </w:pPr>
      <w:r w:rsidRPr="00753DED">
        <w:rPr>
          <w:rFonts w:ascii="Tahoma" w:hAnsi="Tahoma" w:cs="Tahoma"/>
          <w:color w:val="auto"/>
          <w:spacing w:val="0"/>
        </w:rPr>
        <w:t>Lightwave</w:t>
      </w:r>
      <w:r w:rsidR="007160FE" w:rsidRPr="00753DED">
        <w:rPr>
          <w:rFonts w:ascii="Tahoma" w:hAnsi="Tahoma" w:cs="Tahoma"/>
          <w:color w:val="auto"/>
          <w:spacing w:val="0"/>
        </w:rPr>
        <w:t xml:space="preserve"> </w:t>
      </w:r>
      <w:r w:rsidR="004B19BF" w:rsidRPr="00753DED">
        <w:rPr>
          <w:rFonts w:ascii="Tahoma" w:hAnsi="Tahoma" w:cs="Tahoma"/>
          <w:color w:val="auto"/>
          <w:spacing w:val="0"/>
        </w:rPr>
        <w:t xml:space="preserve">will reimburse the cost of standard class rail or coach fares on submission of a receipt with an </w:t>
      </w:r>
      <w:r w:rsidR="00C9216C" w:rsidRPr="00753DED">
        <w:rPr>
          <w:rFonts w:ascii="Tahoma" w:hAnsi="Tahoma" w:cs="Tahoma"/>
          <w:color w:val="auto"/>
          <w:spacing w:val="0"/>
        </w:rPr>
        <w:t>expense</w:t>
      </w:r>
      <w:r w:rsidR="004B19BF" w:rsidRPr="00753DED">
        <w:rPr>
          <w:rFonts w:ascii="Tahoma" w:hAnsi="Tahoma" w:cs="Tahoma"/>
          <w:color w:val="auto"/>
          <w:spacing w:val="0"/>
        </w:rPr>
        <w:t xml:space="preserve"> claim form.</w:t>
      </w:r>
    </w:p>
    <w:p w14:paraId="7823845F" w14:textId="3D926388" w:rsidR="004B19BF" w:rsidRPr="00753DED" w:rsidRDefault="00C360D1" w:rsidP="00C360D1">
      <w:pPr>
        <w:pStyle w:val="text"/>
        <w:numPr>
          <w:ilvl w:val="0"/>
          <w:numId w:val="3"/>
        </w:numPr>
        <w:spacing w:before="60" w:after="60" w:line="240" w:lineRule="auto"/>
        <w:ind w:left="851" w:hanging="283"/>
        <w:jc w:val="left"/>
        <w:rPr>
          <w:rFonts w:ascii="Tahoma" w:hAnsi="Tahoma" w:cs="Tahoma"/>
          <w:color w:val="auto"/>
          <w:spacing w:val="0"/>
        </w:rPr>
      </w:pPr>
      <w:r w:rsidRPr="00753DED">
        <w:rPr>
          <w:rFonts w:ascii="Tahoma" w:hAnsi="Tahoma" w:cs="Tahoma"/>
          <w:color w:val="auto"/>
          <w:spacing w:val="0"/>
        </w:rPr>
        <w:t>Lightwave</w:t>
      </w:r>
      <w:r w:rsidR="007160FE" w:rsidRPr="00753DED">
        <w:rPr>
          <w:rFonts w:ascii="Tahoma" w:hAnsi="Tahoma" w:cs="Tahoma"/>
          <w:color w:val="auto"/>
          <w:spacing w:val="0"/>
        </w:rPr>
        <w:t xml:space="preserve"> </w:t>
      </w:r>
      <w:r w:rsidR="004B19BF" w:rsidRPr="00753DED">
        <w:rPr>
          <w:rFonts w:ascii="Tahoma" w:hAnsi="Tahoma" w:cs="Tahoma"/>
          <w:color w:val="auto"/>
          <w:spacing w:val="0"/>
        </w:rPr>
        <w:t xml:space="preserve">does not expect you to take a taxi where there is public transport available, unless it is cost effective due to a significant saving of journey time or the number of staff travelling together.  A receipt should be obtained for submission with an </w:t>
      </w:r>
      <w:r w:rsidR="00C9216C" w:rsidRPr="00753DED">
        <w:rPr>
          <w:rFonts w:ascii="Tahoma" w:hAnsi="Tahoma" w:cs="Tahoma"/>
          <w:color w:val="auto"/>
          <w:spacing w:val="0"/>
        </w:rPr>
        <w:t>expense</w:t>
      </w:r>
      <w:r w:rsidR="004B19BF" w:rsidRPr="00753DED">
        <w:rPr>
          <w:rFonts w:ascii="Tahoma" w:hAnsi="Tahoma" w:cs="Tahoma"/>
          <w:color w:val="auto"/>
          <w:spacing w:val="0"/>
        </w:rPr>
        <w:t xml:space="preserve"> claim form. </w:t>
      </w:r>
    </w:p>
    <w:p w14:paraId="059A3211" w14:textId="30CDDCED" w:rsidR="004B19BF" w:rsidRPr="00753DED" w:rsidRDefault="004B19BF" w:rsidP="00C360D1">
      <w:pPr>
        <w:pStyle w:val="text"/>
        <w:numPr>
          <w:ilvl w:val="0"/>
          <w:numId w:val="3"/>
        </w:numPr>
        <w:spacing w:before="60" w:after="60" w:line="240" w:lineRule="auto"/>
        <w:ind w:left="851" w:hanging="283"/>
        <w:jc w:val="left"/>
        <w:rPr>
          <w:rFonts w:ascii="Tahoma" w:hAnsi="Tahoma" w:cs="Tahoma"/>
          <w:color w:val="auto"/>
          <w:spacing w:val="0"/>
        </w:rPr>
      </w:pPr>
      <w:r w:rsidRPr="00753DED">
        <w:rPr>
          <w:rFonts w:ascii="Tahoma" w:hAnsi="Tahoma" w:cs="Tahoma"/>
          <w:color w:val="auto"/>
          <w:spacing w:val="0"/>
        </w:rPr>
        <w:t xml:space="preserve">If you are required to travel by plane in the course of your </w:t>
      </w:r>
      <w:r w:rsidR="00C9216C" w:rsidRPr="00753DED">
        <w:rPr>
          <w:rFonts w:ascii="Tahoma" w:hAnsi="Tahoma" w:cs="Tahoma"/>
          <w:color w:val="auto"/>
          <w:spacing w:val="0"/>
        </w:rPr>
        <w:t>duties,</w:t>
      </w:r>
      <w:r w:rsidRPr="00753DED">
        <w:rPr>
          <w:rFonts w:ascii="Tahoma" w:hAnsi="Tahoma" w:cs="Tahoma"/>
          <w:color w:val="auto"/>
          <w:spacing w:val="0"/>
        </w:rPr>
        <w:t xml:space="preserve"> you should discuss the travel arrangements with your </w:t>
      </w:r>
      <w:r w:rsidR="007160FE" w:rsidRPr="00753DED">
        <w:rPr>
          <w:rFonts w:ascii="Tahoma" w:hAnsi="Tahoma" w:cs="Tahoma"/>
          <w:color w:val="auto"/>
          <w:spacing w:val="0"/>
        </w:rPr>
        <w:t>L</w:t>
      </w:r>
      <w:r w:rsidRPr="00753DED">
        <w:rPr>
          <w:rFonts w:ascii="Tahoma" w:hAnsi="Tahoma" w:cs="Tahoma"/>
          <w:color w:val="auto"/>
          <w:spacing w:val="0"/>
        </w:rPr>
        <w:t>ine</w:t>
      </w:r>
      <w:r w:rsidR="007160FE" w:rsidRPr="00753DED">
        <w:rPr>
          <w:rFonts w:ascii="Tahoma" w:hAnsi="Tahoma" w:cs="Tahoma"/>
          <w:color w:val="auto"/>
          <w:spacing w:val="0"/>
        </w:rPr>
        <w:t xml:space="preserve"> M</w:t>
      </w:r>
      <w:r w:rsidRPr="00753DED">
        <w:rPr>
          <w:rFonts w:ascii="Tahoma" w:hAnsi="Tahoma" w:cs="Tahoma"/>
          <w:color w:val="auto"/>
          <w:spacing w:val="0"/>
        </w:rPr>
        <w:t>anager in advance.  Economy class air fares will be reimbursed provided these have been authorised in advance.</w:t>
      </w:r>
    </w:p>
    <w:p w14:paraId="077F6BE7" w14:textId="4B47BE6E" w:rsidR="004B19BF" w:rsidRPr="00753DED" w:rsidRDefault="00C360D1" w:rsidP="00C360D1">
      <w:pPr>
        <w:pStyle w:val="text"/>
        <w:numPr>
          <w:ilvl w:val="0"/>
          <w:numId w:val="3"/>
        </w:numPr>
        <w:spacing w:before="60" w:after="60" w:line="240" w:lineRule="auto"/>
        <w:ind w:left="851" w:hanging="283"/>
        <w:jc w:val="left"/>
        <w:rPr>
          <w:rFonts w:ascii="Tahoma" w:hAnsi="Tahoma" w:cs="Tahoma"/>
          <w:color w:val="auto"/>
          <w:spacing w:val="0"/>
        </w:rPr>
      </w:pPr>
      <w:r w:rsidRPr="00753DED">
        <w:rPr>
          <w:rFonts w:ascii="Tahoma" w:hAnsi="Tahoma" w:cs="Tahoma"/>
          <w:color w:val="auto"/>
          <w:spacing w:val="0"/>
        </w:rPr>
        <w:t>Lightwave</w:t>
      </w:r>
      <w:r w:rsidR="007160FE" w:rsidRPr="00753DED">
        <w:rPr>
          <w:rFonts w:ascii="Tahoma" w:hAnsi="Tahoma" w:cs="Tahoma"/>
          <w:color w:val="auto"/>
          <w:spacing w:val="0"/>
        </w:rPr>
        <w:t xml:space="preserve"> </w:t>
      </w:r>
      <w:r w:rsidR="004B19BF" w:rsidRPr="00753DED">
        <w:rPr>
          <w:rFonts w:ascii="Tahoma" w:hAnsi="Tahoma" w:cs="Tahoma"/>
          <w:color w:val="auto"/>
          <w:spacing w:val="0"/>
        </w:rPr>
        <w:t xml:space="preserve">is not responsible for any fines or penalty fares which you may incur while on </w:t>
      </w:r>
      <w:r w:rsidRPr="00753DED">
        <w:rPr>
          <w:rFonts w:ascii="Tahoma" w:hAnsi="Tahoma" w:cs="Tahoma"/>
          <w:color w:val="auto"/>
          <w:spacing w:val="0"/>
        </w:rPr>
        <w:t xml:space="preserve">Lightwave </w:t>
      </w:r>
      <w:r w:rsidR="004B19BF" w:rsidRPr="00753DED">
        <w:rPr>
          <w:rFonts w:ascii="Tahoma" w:hAnsi="Tahoma" w:cs="Tahoma"/>
          <w:color w:val="auto"/>
          <w:spacing w:val="0"/>
        </w:rPr>
        <w:t xml:space="preserve">business.  The responsibility for paying such fines or penalties is yours.  </w:t>
      </w:r>
      <w:r w:rsidR="003D1139" w:rsidRPr="00753DED">
        <w:rPr>
          <w:rFonts w:ascii="Tahoma" w:hAnsi="Tahoma" w:cs="Tahoma"/>
          <w:color w:val="auto"/>
          <w:spacing w:val="0"/>
        </w:rPr>
        <w:br/>
      </w:r>
    </w:p>
    <w:p w14:paraId="0EA20537" w14:textId="503C142C" w:rsidR="00C9216C" w:rsidRPr="00753DED" w:rsidRDefault="00C9216C" w:rsidP="003D1139">
      <w:pPr>
        <w:pStyle w:val="text"/>
        <w:numPr>
          <w:ilvl w:val="1"/>
          <w:numId w:val="4"/>
        </w:numPr>
        <w:spacing w:after="0" w:line="240" w:lineRule="auto"/>
        <w:ind w:left="567" w:hanging="567"/>
        <w:jc w:val="left"/>
        <w:rPr>
          <w:rFonts w:ascii="Tahoma" w:hAnsi="Tahoma" w:cs="Tahoma"/>
          <w:color w:val="auto"/>
          <w:spacing w:val="0"/>
        </w:rPr>
      </w:pPr>
      <w:r w:rsidRPr="00753DED">
        <w:rPr>
          <w:rFonts w:ascii="Tahoma" w:hAnsi="Tahoma" w:cs="Tahoma"/>
          <w:color w:val="auto"/>
          <w:spacing w:val="0"/>
        </w:rPr>
        <w:t xml:space="preserve">It is the responsibly of claimants to familiarise themselves with the key elements of the expenses policy, and the responsibility of authorisers, (generally </w:t>
      </w:r>
      <w:r w:rsidR="00267326" w:rsidRPr="00753DED">
        <w:rPr>
          <w:rFonts w:ascii="Tahoma" w:hAnsi="Tahoma" w:cs="Tahoma"/>
          <w:color w:val="auto"/>
          <w:spacing w:val="0"/>
        </w:rPr>
        <w:t xml:space="preserve">the employee or volunteer </w:t>
      </w:r>
      <w:r w:rsidRPr="00753DED">
        <w:rPr>
          <w:rFonts w:ascii="Tahoma" w:hAnsi="Tahoma" w:cs="Tahoma"/>
          <w:color w:val="auto"/>
          <w:spacing w:val="0"/>
        </w:rPr>
        <w:t>line managers) to understand what, by signing the form, they are authorising. By signing the form, authorisers are confirming that there is compliance with the policy as well as legitimacy and mathematical accuracy of the claim.</w:t>
      </w:r>
      <w:r w:rsidR="003D1139" w:rsidRPr="00753DED">
        <w:rPr>
          <w:rFonts w:ascii="Tahoma" w:hAnsi="Tahoma" w:cs="Tahoma"/>
          <w:color w:val="auto"/>
          <w:spacing w:val="0"/>
        </w:rPr>
        <w:br/>
      </w:r>
    </w:p>
    <w:p w14:paraId="3E5B3976" w14:textId="16ACB7BE" w:rsidR="00A825B4" w:rsidRPr="00753DED" w:rsidRDefault="004B19BF" w:rsidP="003D1139">
      <w:pPr>
        <w:pStyle w:val="ListParagraph"/>
        <w:numPr>
          <w:ilvl w:val="0"/>
          <w:numId w:val="4"/>
        </w:numPr>
        <w:ind w:left="567" w:hanging="567"/>
        <w:contextualSpacing w:val="0"/>
        <w:rPr>
          <w:rFonts w:ascii="Tahoma" w:hAnsi="Tahoma" w:cs="Tahoma"/>
          <w:b/>
          <w:sz w:val="22"/>
          <w:szCs w:val="22"/>
        </w:rPr>
      </w:pPr>
      <w:r w:rsidRPr="00753DED">
        <w:rPr>
          <w:rFonts w:ascii="Tahoma" w:hAnsi="Tahoma" w:cs="Tahoma"/>
          <w:b/>
          <w:sz w:val="22"/>
          <w:szCs w:val="22"/>
        </w:rPr>
        <w:t xml:space="preserve">Travelling to a work venue which </w:t>
      </w:r>
      <w:r w:rsidR="00656E1C" w:rsidRPr="00753DED">
        <w:rPr>
          <w:rFonts w:ascii="Tahoma" w:hAnsi="Tahoma" w:cs="Tahoma"/>
          <w:b/>
          <w:sz w:val="22"/>
          <w:szCs w:val="22"/>
        </w:rPr>
        <w:t>is not your normal place of work</w:t>
      </w:r>
    </w:p>
    <w:p w14:paraId="4CB834B7" w14:textId="21E6714B" w:rsidR="004B19BF" w:rsidRPr="00753DED" w:rsidRDefault="004B19BF" w:rsidP="003D1139">
      <w:pPr>
        <w:pStyle w:val="text"/>
        <w:numPr>
          <w:ilvl w:val="1"/>
          <w:numId w:val="4"/>
        </w:numPr>
        <w:spacing w:after="0" w:line="240" w:lineRule="auto"/>
        <w:ind w:left="567" w:hanging="567"/>
        <w:jc w:val="left"/>
        <w:rPr>
          <w:rFonts w:ascii="Tahoma" w:hAnsi="Tahoma" w:cs="Tahoma"/>
          <w:color w:val="auto"/>
          <w:spacing w:val="0"/>
        </w:rPr>
      </w:pPr>
      <w:r w:rsidRPr="00753DED">
        <w:rPr>
          <w:rFonts w:ascii="Tahoma" w:hAnsi="Tahoma" w:cs="Tahoma"/>
          <w:color w:val="auto"/>
          <w:spacing w:val="0"/>
        </w:rPr>
        <w:t>When travelling by public transport (either from home or office) to a work venue which is not your normal place of work you may claim the actual fare.</w:t>
      </w:r>
      <w:r w:rsidR="003D1139" w:rsidRPr="00753DED">
        <w:rPr>
          <w:rFonts w:ascii="Tahoma" w:hAnsi="Tahoma" w:cs="Tahoma"/>
          <w:color w:val="auto"/>
          <w:spacing w:val="0"/>
        </w:rPr>
        <w:br/>
      </w:r>
    </w:p>
    <w:p w14:paraId="51CB29F2" w14:textId="0E67098F" w:rsidR="004B19BF" w:rsidRPr="00753DED" w:rsidRDefault="004B19BF" w:rsidP="003D1139">
      <w:pPr>
        <w:pStyle w:val="text"/>
        <w:numPr>
          <w:ilvl w:val="1"/>
          <w:numId w:val="4"/>
        </w:numPr>
        <w:spacing w:after="0" w:line="240" w:lineRule="auto"/>
        <w:ind w:left="567" w:hanging="567"/>
        <w:jc w:val="left"/>
        <w:rPr>
          <w:rFonts w:ascii="Tahoma" w:hAnsi="Tahoma" w:cs="Tahoma"/>
          <w:color w:val="auto"/>
          <w:spacing w:val="0"/>
        </w:rPr>
      </w:pPr>
      <w:r w:rsidRPr="00753DED">
        <w:rPr>
          <w:rFonts w:ascii="Tahoma" w:hAnsi="Tahoma" w:cs="Tahoma"/>
          <w:color w:val="auto"/>
          <w:spacing w:val="0"/>
        </w:rPr>
        <w:t xml:space="preserve">When travelling from home to a work venue </w:t>
      </w:r>
      <w:proofErr w:type="spellStart"/>
      <w:r w:rsidRPr="00753DED">
        <w:rPr>
          <w:rFonts w:ascii="Tahoma" w:hAnsi="Tahoma" w:cs="Tahoma"/>
          <w:color w:val="auto"/>
          <w:spacing w:val="0"/>
        </w:rPr>
        <w:t>en</w:t>
      </w:r>
      <w:proofErr w:type="spellEnd"/>
      <w:r w:rsidRPr="00753DED">
        <w:rPr>
          <w:rFonts w:ascii="Tahoma" w:hAnsi="Tahoma" w:cs="Tahoma"/>
          <w:color w:val="auto"/>
          <w:spacing w:val="0"/>
        </w:rPr>
        <w:t xml:space="preserve"> route to the office (or from the office to a work venue </w:t>
      </w:r>
      <w:proofErr w:type="spellStart"/>
      <w:r w:rsidRPr="00753DED">
        <w:rPr>
          <w:rFonts w:ascii="Tahoma" w:hAnsi="Tahoma" w:cs="Tahoma"/>
          <w:color w:val="auto"/>
          <w:spacing w:val="0"/>
        </w:rPr>
        <w:t>en</w:t>
      </w:r>
      <w:proofErr w:type="spellEnd"/>
      <w:r w:rsidRPr="00753DED">
        <w:rPr>
          <w:rFonts w:ascii="Tahoma" w:hAnsi="Tahoma" w:cs="Tahoma"/>
          <w:color w:val="auto"/>
          <w:spacing w:val="0"/>
        </w:rPr>
        <w:t xml:space="preserve"> route to home) you may claim any extra mileage/fare involved.</w:t>
      </w:r>
      <w:r w:rsidR="003D1139" w:rsidRPr="00753DED">
        <w:rPr>
          <w:rFonts w:ascii="Tahoma" w:hAnsi="Tahoma" w:cs="Tahoma"/>
          <w:color w:val="auto"/>
          <w:spacing w:val="0"/>
        </w:rPr>
        <w:br/>
      </w:r>
    </w:p>
    <w:p w14:paraId="7A14FE1B" w14:textId="2BDEC99B" w:rsidR="004B19BF" w:rsidRPr="00753DED" w:rsidRDefault="004B19BF" w:rsidP="003D1139">
      <w:pPr>
        <w:pStyle w:val="text"/>
        <w:numPr>
          <w:ilvl w:val="1"/>
          <w:numId w:val="4"/>
        </w:numPr>
        <w:spacing w:after="0" w:line="240" w:lineRule="auto"/>
        <w:ind w:left="567" w:hanging="567"/>
        <w:jc w:val="left"/>
        <w:rPr>
          <w:rFonts w:ascii="Tahoma" w:hAnsi="Tahoma" w:cs="Tahoma"/>
          <w:color w:val="auto"/>
          <w:spacing w:val="0"/>
        </w:rPr>
      </w:pPr>
      <w:r w:rsidRPr="00753DED">
        <w:rPr>
          <w:rFonts w:ascii="Tahoma" w:hAnsi="Tahoma" w:cs="Tahoma"/>
          <w:color w:val="auto"/>
          <w:spacing w:val="0"/>
        </w:rPr>
        <w:t>When travelling from home to a work venue then back to home you may claim any mileage over and above that which you would normally do, so if the trip is less than your normal journey to work you claim nothing, if more you only claim the extra.</w:t>
      </w:r>
      <w:r w:rsidR="003D1139" w:rsidRPr="00753DED">
        <w:rPr>
          <w:rFonts w:ascii="Tahoma" w:hAnsi="Tahoma" w:cs="Tahoma"/>
          <w:color w:val="auto"/>
          <w:spacing w:val="0"/>
        </w:rPr>
        <w:br/>
      </w:r>
    </w:p>
    <w:p w14:paraId="12653FCE" w14:textId="77777777" w:rsidR="004B19BF" w:rsidRPr="00753DED" w:rsidRDefault="004B19BF" w:rsidP="003D1139">
      <w:pPr>
        <w:pStyle w:val="Subtitle2"/>
        <w:keepNext w:val="0"/>
        <w:numPr>
          <w:ilvl w:val="0"/>
          <w:numId w:val="4"/>
        </w:numPr>
        <w:spacing w:before="0" w:after="0" w:line="240" w:lineRule="auto"/>
        <w:ind w:left="567" w:hanging="567"/>
        <w:jc w:val="both"/>
        <w:rPr>
          <w:rFonts w:ascii="Tahoma" w:hAnsi="Tahoma" w:cs="Tahoma"/>
          <w:color w:val="auto"/>
          <w:sz w:val="22"/>
          <w:szCs w:val="22"/>
        </w:rPr>
      </w:pPr>
      <w:r w:rsidRPr="00753DED">
        <w:rPr>
          <w:rFonts w:ascii="Tahoma" w:hAnsi="Tahoma" w:cs="Tahoma"/>
          <w:color w:val="auto"/>
          <w:sz w:val="22"/>
          <w:szCs w:val="22"/>
        </w:rPr>
        <w:t>Accommodation and other overnight expenses</w:t>
      </w:r>
    </w:p>
    <w:p w14:paraId="514D8E30" w14:textId="1255A473" w:rsidR="004B19BF" w:rsidRPr="00753DED" w:rsidRDefault="004B19BF" w:rsidP="003D1139">
      <w:pPr>
        <w:pStyle w:val="text"/>
        <w:numPr>
          <w:ilvl w:val="1"/>
          <w:numId w:val="4"/>
        </w:numPr>
        <w:spacing w:after="0" w:line="240" w:lineRule="auto"/>
        <w:ind w:left="567" w:hanging="567"/>
        <w:jc w:val="left"/>
        <w:rPr>
          <w:rFonts w:ascii="Tahoma" w:hAnsi="Tahoma" w:cs="Tahoma"/>
          <w:bCs/>
          <w:color w:val="auto"/>
          <w:spacing w:val="0"/>
        </w:rPr>
      </w:pPr>
      <w:r w:rsidRPr="00753DED">
        <w:rPr>
          <w:rFonts w:ascii="Tahoma" w:hAnsi="Tahoma" w:cs="Tahoma"/>
          <w:color w:val="auto"/>
          <w:spacing w:val="0"/>
        </w:rPr>
        <w:t xml:space="preserve">If you are required to stay away from home overnight on </w:t>
      </w:r>
      <w:r w:rsidR="00267326" w:rsidRPr="00753DED">
        <w:rPr>
          <w:rFonts w:ascii="Tahoma" w:hAnsi="Tahoma" w:cs="Tahoma"/>
          <w:color w:val="auto"/>
          <w:spacing w:val="0"/>
        </w:rPr>
        <w:t>Lightwave</w:t>
      </w:r>
      <w:r w:rsidRPr="00753DED">
        <w:rPr>
          <w:rFonts w:ascii="Tahoma" w:hAnsi="Tahoma" w:cs="Tahoma"/>
          <w:color w:val="auto"/>
          <w:spacing w:val="0"/>
        </w:rPr>
        <w:t xml:space="preserve"> </w:t>
      </w:r>
      <w:r w:rsidR="00C9216C" w:rsidRPr="00753DED">
        <w:rPr>
          <w:rFonts w:ascii="Tahoma" w:hAnsi="Tahoma" w:cs="Tahoma"/>
          <w:color w:val="auto"/>
          <w:spacing w:val="0"/>
        </w:rPr>
        <w:t>business,</w:t>
      </w:r>
      <w:r w:rsidRPr="00753DED">
        <w:rPr>
          <w:rFonts w:ascii="Tahoma" w:hAnsi="Tahoma" w:cs="Tahoma"/>
          <w:color w:val="auto"/>
          <w:spacing w:val="0"/>
        </w:rPr>
        <w:t xml:space="preserve"> you should </w:t>
      </w:r>
      <w:r w:rsidR="0082476C" w:rsidRPr="00753DED">
        <w:rPr>
          <w:rFonts w:ascii="Tahoma" w:hAnsi="Tahoma" w:cs="Tahoma"/>
          <w:color w:val="auto"/>
          <w:spacing w:val="0"/>
        </w:rPr>
        <w:t xml:space="preserve">agree </w:t>
      </w:r>
      <w:r w:rsidRPr="00753DED">
        <w:rPr>
          <w:rFonts w:ascii="Tahoma" w:hAnsi="Tahoma" w:cs="Tahoma"/>
          <w:color w:val="auto"/>
          <w:spacing w:val="0"/>
        </w:rPr>
        <w:t>accommodation arrangements with your</w:t>
      </w:r>
      <w:r w:rsidR="00781DEB" w:rsidRPr="00753DED">
        <w:rPr>
          <w:rFonts w:ascii="Tahoma" w:hAnsi="Tahoma" w:cs="Tahoma"/>
          <w:color w:val="auto"/>
          <w:spacing w:val="0"/>
        </w:rPr>
        <w:t xml:space="preserve"> L</w:t>
      </w:r>
      <w:r w:rsidRPr="00753DED">
        <w:rPr>
          <w:rFonts w:ascii="Tahoma" w:hAnsi="Tahoma" w:cs="Tahoma"/>
          <w:color w:val="auto"/>
          <w:spacing w:val="0"/>
        </w:rPr>
        <w:t xml:space="preserve">ine </w:t>
      </w:r>
      <w:r w:rsidR="00781DEB" w:rsidRPr="00753DED">
        <w:rPr>
          <w:rFonts w:ascii="Tahoma" w:hAnsi="Tahoma" w:cs="Tahoma"/>
          <w:color w:val="auto"/>
          <w:spacing w:val="0"/>
        </w:rPr>
        <w:t>M</w:t>
      </w:r>
      <w:r w:rsidRPr="00753DED">
        <w:rPr>
          <w:rFonts w:ascii="Tahoma" w:hAnsi="Tahoma" w:cs="Tahoma"/>
          <w:color w:val="auto"/>
          <w:spacing w:val="0"/>
        </w:rPr>
        <w:t>anager in advance.  You may claim the c</w:t>
      </w:r>
      <w:r w:rsidR="00BB121C" w:rsidRPr="00753DED">
        <w:rPr>
          <w:rFonts w:ascii="Tahoma" w:hAnsi="Tahoma" w:cs="Tahoma"/>
          <w:color w:val="auto"/>
          <w:spacing w:val="0"/>
        </w:rPr>
        <w:t>osts of overnight accommodation up to the value of</w:t>
      </w:r>
      <w:r w:rsidR="00BB121C" w:rsidRPr="00753DED">
        <w:rPr>
          <w:rFonts w:ascii="Tahoma" w:hAnsi="Tahoma" w:cs="Tahoma"/>
          <w:color w:val="FF0000"/>
          <w:spacing w:val="0"/>
        </w:rPr>
        <w:t xml:space="preserve"> </w:t>
      </w:r>
      <w:r w:rsidR="00BB121C" w:rsidRPr="00753DED">
        <w:rPr>
          <w:rFonts w:ascii="Tahoma" w:hAnsi="Tahoma" w:cs="Tahoma"/>
          <w:color w:val="auto"/>
          <w:spacing w:val="0"/>
        </w:rPr>
        <w:t>£100 (£140 in London) with supporting documentation, such as</w:t>
      </w:r>
      <w:bookmarkStart w:id="0" w:name="_Ref425755087"/>
      <w:r w:rsidR="00BB121C" w:rsidRPr="00753DED">
        <w:rPr>
          <w:rFonts w:ascii="Tahoma" w:hAnsi="Tahoma" w:cs="Tahoma"/>
          <w:color w:val="auto"/>
          <w:spacing w:val="0"/>
        </w:rPr>
        <w:t xml:space="preserve"> receipt / statement of account.</w:t>
      </w:r>
      <w:r w:rsidR="00FC186B" w:rsidRPr="00753DED">
        <w:rPr>
          <w:rFonts w:ascii="Tahoma" w:hAnsi="Tahoma" w:cs="Tahoma"/>
          <w:color w:val="auto"/>
          <w:spacing w:val="0"/>
        </w:rPr>
        <w:t xml:space="preserve"> </w:t>
      </w:r>
      <w:r w:rsidR="00C360D1" w:rsidRPr="00753DED">
        <w:rPr>
          <w:rFonts w:ascii="Tahoma" w:hAnsi="Tahoma" w:cs="Tahoma"/>
          <w:color w:val="auto"/>
          <w:spacing w:val="0"/>
        </w:rPr>
        <w:t>Lightwave</w:t>
      </w:r>
      <w:r w:rsidR="00781DEB" w:rsidRPr="00753DED">
        <w:rPr>
          <w:rFonts w:ascii="Tahoma" w:hAnsi="Tahoma" w:cs="Tahoma"/>
          <w:color w:val="auto"/>
          <w:spacing w:val="0"/>
        </w:rPr>
        <w:t xml:space="preserve"> </w:t>
      </w:r>
      <w:r w:rsidRPr="00753DED">
        <w:rPr>
          <w:rFonts w:ascii="Tahoma" w:hAnsi="Tahoma" w:cs="Tahoma"/>
          <w:color w:val="auto"/>
          <w:spacing w:val="0"/>
        </w:rPr>
        <w:t>will reimburse your reasonable out-of-pocket expenses for overnight stays provided they have been approved in advance by your line manager and are supported by receipts</w:t>
      </w:r>
      <w:bookmarkEnd w:id="0"/>
      <w:r w:rsidR="00C443E2" w:rsidRPr="00753DED">
        <w:rPr>
          <w:rFonts w:ascii="Tahoma" w:hAnsi="Tahoma" w:cs="Tahoma"/>
          <w:color w:val="auto"/>
          <w:spacing w:val="0"/>
        </w:rPr>
        <w:t>.</w:t>
      </w:r>
      <w:r w:rsidR="003D1139" w:rsidRPr="00753DED">
        <w:rPr>
          <w:rFonts w:ascii="Tahoma" w:hAnsi="Tahoma" w:cs="Tahoma"/>
          <w:color w:val="auto"/>
          <w:spacing w:val="0"/>
        </w:rPr>
        <w:br/>
      </w:r>
    </w:p>
    <w:p w14:paraId="2754A4CD" w14:textId="08F79B9B" w:rsidR="00781DEB" w:rsidRPr="00753DED" w:rsidRDefault="00C360D1" w:rsidP="003D1139">
      <w:pPr>
        <w:pStyle w:val="text"/>
        <w:numPr>
          <w:ilvl w:val="1"/>
          <w:numId w:val="4"/>
        </w:numPr>
        <w:spacing w:after="0" w:line="240" w:lineRule="auto"/>
        <w:ind w:left="567" w:hanging="567"/>
        <w:jc w:val="left"/>
        <w:rPr>
          <w:rFonts w:ascii="Tahoma" w:hAnsi="Tahoma" w:cs="Tahoma"/>
          <w:color w:val="auto"/>
          <w:spacing w:val="0"/>
        </w:rPr>
      </w:pPr>
      <w:r w:rsidRPr="00753DED">
        <w:rPr>
          <w:rFonts w:ascii="Tahoma" w:hAnsi="Tahoma" w:cs="Tahoma"/>
          <w:color w:val="auto"/>
          <w:spacing w:val="0"/>
        </w:rPr>
        <w:lastRenderedPageBreak/>
        <w:t>Lightwave</w:t>
      </w:r>
      <w:r w:rsidR="00781DEB" w:rsidRPr="00753DED">
        <w:rPr>
          <w:rFonts w:ascii="Tahoma" w:hAnsi="Tahoma" w:cs="Tahoma"/>
          <w:color w:val="auto"/>
          <w:spacing w:val="0"/>
        </w:rPr>
        <w:t xml:space="preserve"> </w:t>
      </w:r>
      <w:r w:rsidR="004B19BF" w:rsidRPr="00753DED">
        <w:rPr>
          <w:rFonts w:ascii="Tahoma" w:hAnsi="Tahoma" w:cs="Tahoma"/>
          <w:color w:val="auto"/>
          <w:spacing w:val="0"/>
        </w:rPr>
        <w:t xml:space="preserve">will not reimburse items of a personal nature such as alcoholic drinks, </w:t>
      </w:r>
      <w:r w:rsidR="00C9216C" w:rsidRPr="00753DED">
        <w:rPr>
          <w:rFonts w:ascii="Tahoma" w:hAnsi="Tahoma" w:cs="Tahoma"/>
          <w:color w:val="auto"/>
          <w:spacing w:val="0"/>
        </w:rPr>
        <w:t>newspapers,</w:t>
      </w:r>
      <w:r w:rsidR="004B19BF" w:rsidRPr="00753DED">
        <w:rPr>
          <w:rFonts w:ascii="Tahoma" w:hAnsi="Tahoma" w:cs="Tahoma"/>
          <w:color w:val="auto"/>
          <w:spacing w:val="0"/>
        </w:rPr>
        <w:t xml:space="preserve"> and private telephone calls. </w:t>
      </w:r>
    </w:p>
    <w:p w14:paraId="76E83865" w14:textId="77777777" w:rsidR="00C443E2" w:rsidRPr="00753DED" w:rsidRDefault="00C443E2" w:rsidP="003D1139">
      <w:pPr>
        <w:pStyle w:val="text"/>
        <w:spacing w:after="0" w:line="240" w:lineRule="auto"/>
        <w:ind w:left="567"/>
        <w:jc w:val="left"/>
        <w:rPr>
          <w:rFonts w:ascii="Tahoma" w:hAnsi="Tahoma" w:cs="Tahoma"/>
          <w:color w:val="auto"/>
          <w:spacing w:val="0"/>
        </w:rPr>
      </w:pPr>
    </w:p>
    <w:p w14:paraId="75430C62" w14:textId="6576BB9B" w:rsidR="004B19BF" w:rsidRPr="00753DED" w:rsidRDefault="004B19BF" w:rsidP="003D1139">
      <w:pPr>
        <w:pStyle w:val="text"/>
        <w:numPr>
          <w:ilvl w:val="1"/>
          <w:numId w:val="4"/>
        </w:numPr>
        <w:spacing w:after="0" w:line="240" w:lineRule="auto"/>
        <w:ind w:left="567" w:hanging="567"/>
        <w:jc w:val="left"/>
        <w:rPr>
          <w:rFonts w:ascii="Tahoma" w:hAnsi="Tahoma" w:cs="Tahoma"/>
          <w:bCs/>
          <w:color w:val="auto"/>
          <w:spacing w:val="0"/>
        </w:rPr>
      </w:pPr>
      <w:r w:rsidRPr="00753DED">
        <w:rPr>
          <w:rFonts w:ascii="Tahoma" w:hAnsi="Tahoma" w:cs="Tahoma"/>
          <w:color w:val="auto"/>
          <w:spacing w:val="0"/>
        </w:rPr>
        <w:t xml:space="preserve">If you are required to leave the office on </w:t>
      </w:r>
      <w:r w:rsidR="00267326" w:rsidRPr="00753DED">
        <w:rPr>
          <w:rFonts w:ascii="Tahoma" w:hAnsi="Tahoma" w:cs="Tahoma"/>
          <w:color w:val="auto"/>
          <w:spacing w:val="0"/>
        </w:rPr>
        <w:t>Lightwave</w:t>
      </w:r>
      <w:r w:rsidR="00781DEB" w:rsidRPr="00753DED">
        <w:rPr>
          <w:rFonts w:ascii="Tahoma" w:hAnsi="Tahoma" w:cs="Tahoma"/>
          <w:color w:val="auto"/>
          <w:spacing w:val="0"/>
        </w:rPr>
        <w:t xml:space="preserve"> </w:t>
      </w:r>
      <w:r w:rsidRPr="00753DED">
        <w:rPr>
          <w:rFonts w:ascii="Tahoma" w:hAnsi="Tahoma" w:cs="Tahoma"/>
          <w:color w:val="auto"/>
          <w:spacing w:val="0"/>
        </w:rPr>
        <w:t>business which necessitates you having to purchase refreshments or a meal during the course of that business, reasonable reimbursement will be made</w:t>
      </w:r>
      <w:r w:rsidR="00A25363" w:rsidRPr="00753DED">
        <w:rPr>
          <w:rFonts w:ascii="Tahoma" w:hAnsi="Tahoma" w:cs="Tahoma"/>
          <w:color w:val="auto"/>
          <w:spacing w:val="0"/>
        </w:rPr>
        <w:t>, subject to agreement with your line manager</w:t>
      </w:r>
      <w:r w:rsidR="00F8640F" w:rsidRPr="00753DED">
        <w:rPr>
          <w:rFonts w:ascii="Tahoma" w:hAnsi="Tahoma" w:cs="Tahoma"/>
          <w:color w:val="auto"/>
          <w:spacing w:val="0"/>
        </w:rPr>
        <w:t>.</w:t>
      </w:r>
      <w:r w:rsidR="003D1139" w:rsidRPr="00753DED">
        <w:rPr>
          <w:rFonts w:ascii="Tahoma" w:hAnsi="Tahoma" w:cs="Tahoma"/>
          <w:color w:val="auto"/>
          <w:spacing w:val="0"/>
        </w:rPr>
        <w:br/>
      </w:r>
    </w:p>
    <w:p w14:paraId="283F097C" w14:textId="1940D9B8" w:rsidR="004B19BF" w:rsidRPr="00753DED" w:rsidRDefault="004B19BF" w:rsidP="003D1139">
      <w:pPr>
        <w:pStyle w:val="text"/>
        <w:numPr>
          <w:ilvl w:val="1"/>
          <w:numId w:val="4"/>
        </w:numPr>
        <w:spacing w:after="0" w:line="240" w:lineRule="auto"/>
        <w:ind w:left="567" w:hanging="567"/>
        <w:jc w:val="left"/>
        <w:rPr>
          <w:rFonts w:ascii="Tahoma" w:hAnsi="Tahoma" w:cs="Tahoma"/>
          <w:bCs/>
          <w:color w:val="auto"/>
          <w:spacing w:val="0"/>
        </w:rPr>
      </w:pPr>
      <w:r w:rsidRPr="00753DED">
        <w:rPr>
          <w:rFonts w:ascii="Tahoma" w:hAnsi="Tahoma" w:cs="Tahoma"/>
          <w:color w:val="auto"/>
          <w:spacing w:val="0"/>
        </w:rPr>
        <w:t xml:space="preserve">If you work from home you are expected to take advantage of the refreshment arrangements available to </w:t>
      </w:r>
      <w:r w:rsidR="00C9216C" w:rsidRPr="00753DED">
        <w:rPr>
          <w:rFonts w:ascii="Tahoma" w:hAnsi="Tahoma" w:cs="Tahoma"/>
          <w:color w:val="auto"/>
          <w:spacing w:val="0"/>
        </w:rPr>
        <w:t>office-based</w:t>
      </w:r>
      <w:r w:rsidRPr="00753DED">
        <w:rPr>
          <w:rFonts w:ascii="Tahoma" w:hAnsi="Tahoma" w:cs="Tahoma"/>
          <w:color w:val="auto"/>
          <w:spacing w:val="0"/>
        </w:rPr>
        <w:t xml:space="preserve"> staff when visiting the office, rather than claiming subsistence.</w:t>
      </w:r>
      <w:r w:rsidR="003D1139" w:rsidRPr="00753DED">
        <w:rPr>
          <w:rFonts w:ascii="Tahoma" w:hAnsi="Tahoma" w:cs="Tahoma"/>
          <w:color w:val="auto"/>
          <w:spacing w:val="0"/>
        </w:rPr>
        <w:br/>
      </w:r>
    </w:p>
    <w:p w14:paraId="155B9385" w14:textId="77777777" w:rsidR="004B19BF" w:rsidRPr="00753DED" w:rsidRDefault="00FC186B" w:rsidP="003D1139">
      <w:pPr>
        <w:pStyle w:val="Subtitle2"/>
        <w:keepNext w:val="0"/>
        <w:numPr>
          <w:ilvl w:val="0"/>
          <w:numId w:val="4"/>
        </w:numPr>
        <w:spacing w:before="0" w:after="0" w:line="240" w:lineRule="auto"/>
        <w:ind w:left="567" w:hanging="567"/>
        <w:rPr>
          <w:rFonts w:ascii="Tahoma" w:hAnsi="Tahoma" w:cs="Tahoma"/>
          <w:color w:val="auto"/>
          <w:sz w:val="22"/>
          <w:szCs w:val="22"/>
        </w:rPr>
      </w:pPr>
      <w:r w:rsidRPr="00753DED">
        <w:rPr>
          <w:rFonts w:ascii="Tahoma" w:hAnsi="Tahoma" w:cs="Tahoma"/>
          <w:color w:val="auto"/>
          <w:sz w:val="22"/>
          <w:szCs w:val="22"/>
        </w:rPr>
        <w:t>Telephone C</w:t>
      </w:r>
      <w:r w:rsidR="004B19BF" w:rsidRPr="00753DED">
        <w:rPr>
          <w:rFonts w:ascii="Tahoma" w:hAnsi="Tahoma" w:cs="Tahoma"/>
          <w:color w:val="auto"/>
          <w:sz w:val="22"/>
          <w:szCs w:val="22"/>
        </w:rPr>
        <w:t>alls</w:t>
      </w:r>
      <w:r w:rsidRPr="00753DED">
        <w:rPr>
          <w:rFonts w:ascii="Tahoma" w:hAnsi="Tahoma" w:cs="Tahoma"/>
          <w:color w:val="auto"/>
          <w:sz w:val="22"/>
          <w:szCs w:val="22"/>
        </w:rPr>
        <w:t xml:space="preserve"> and Data</w:t>
      </w:r>
    </w:p>
    <w:p w14:paraId="75371501" w14:textId="0480CE07" w:rsidR="004B19BF" w:rsidRPr="00753DED" w:rsidRDefault="00A723EC" w:rsidP="003D1139">
      <w:pPr>
        <w:pStyle w:val="text"/>
        <w:numPr>
          <w:ilvl w:val="1"/>
          <w:numId w:val="4"/>
        </w:numPr>
        <w:spacing w:after="0" w:line="240" w:lineRule="auto"/>
        <w:ind w:left="567" w:hanging="567"/>
        <w:jc w:val="left"/>
        <w:rPr>
          <w:rFonts w:ascii="Tahoma" w:hAnsi="Tahoma" w:cs="Tahoma"/>
          <w:color w:val="auto"/>
          <w:spacing w:val="0"/>
        </w:rPr>
      </w:pPr>
      <w:r w:rsidRPr="00753DED">
        <w:rPr>
          <w:rFonts w:ascii="Tahoma" w:hAnsi="Tahoma" w:cs="Tahoma"/>
          <w:color w:val="auto"/>
          <w:spacing w:val="0"/>
        </w:rPr>
        <w:t xml:space="preserve">Lightwave Employees </w:t>
      </w:r>
      <w:r w:rsidR="004B19BF" w:rsidRPr="00753DED">
        <w:rPr>
          <w:rFonts w:ascii="Tahoma" w:hAnsi="Tahoma" w:cs="Tahoma"/>
          <w:color w:val="auto"/>
          <w:spacing w:val="0"/>
        </w:rPr>
        <w:t xml:space="preserve">will not normally be in the position of having to use their private telephone or mobile phone in connection with </w:t>
      </w:r>
      <w:r w:rsidR="00267326" w:rsidRPr="00753DED">
        <w:rPr>
          <w:rFonts w:ascii="Tahoma" w:hAnsi="Tahoma" w:cs="Tahoma"/>
          <w:color w:val="auto"/>
          <w:spacing w:val="0"/>
        </w:rPr>
        <w:t>Lightwave</w:t>
      </w:r>
      <w:r w:rsidR="00BA0068" w:rsidRPr="00753DED">
        <w:rPr>
          <w:rFonts w:ascii="Tahoma" w:hAnsi="Tahoma" w:cs="Tahoma"/>
          <w:color w:val="auto"/>
          <w:spacing w:val="0"/>
        </w:rPr>
        <w:t xml:space="preserve">’s </w:t>
      </w:r>
      <w:r w:rsidR="004B19BF" w:rsidRPr="00753DED">
        <w:rPr>
          <w:rFonts w:ascii="Tahoma" w:hAnsi="Tahoma" w:cs="Tahoma"/>
          <w:color w:val="auto"/>
          <w:spacing w:val="0"/>
        </w:rPr>
        <w:t xml:space="preserve">business.  </w:t>
      </w:r>
      <w:r w:rsidR="00C9216C" w:rsidRPr="00753DED">
        <w:rPr>
          <w:rFonts w:ascii="Tahoma" w:hAnsi="Tahoma" w:cs="Tahoma"/>
          <w:color w:val="auto"/>
          <w:spacing w:val="0"/>
        </w:rPr>
        <w:t>However,</w:t>
      </w:r>
      <w:r w:rsidR="00FC186B" w:rsidRPr="00753DED">
        <w:rPr>
          <w:rFonts w:ascii="Tahoma" w:hAnsi="Tahoma" w:cs="Tahoma"/>
          <w:color w:val="auto"/>
          <w:spacing w:val="0"/>
        </w:rPr>
        <w:t xml:space="preserve"> if agreed with your Line Manager</w:t>
      </w:r>
      <w:r w:rsidR="00BA0068" w:rsidRPr="00753DED">
        <w:rPr>
          <w:rFonts w:ascii="Tahoma" w:hAnsi="Tahoma" w:cs="Tahoma"/>
          <w:color w:val="auto"/>
          <w:spacing w:val="0"/>
        </w:rPr>
        <w:t>,</w:t>
      </w:r>
      <w:r w:rsidR="004B19BF" w:rsidRPr="00753DED">
        <w:rPr>
          <w:rFonts w:ascii="Tahoma" w:hAnsi="Tahoma" w:cs="Tahoma"/>
          <w:color w:val="auto"/>
          <w:spacing w:val="0"/>
        </w:rPr>
        <w:t xml:space="preserve"> the cost </w:t>
      </w:r>
      <w:r w:rsidR="00FC186B" w:rsidRPr="00753DED">
        <w:rPr>
          <w:rFonts w:ascii="Tahoma" w:hAnsi="Tahoma" w:cs="Tahoma"/>
          <w:color w:val="auto"/>
          <w:spacing w:val="0"/>
        </w:rPr>
        <w:t>of any such telephone calls may</w:t>
      </w:r>
      <w:r w:rsidR="004B19BF" w:rsidRPr="00753DED">
        <w:rPr>
          <w:rFonts w:ascii="Tahoma" w:hAnsi="Tahoma" w:cs="Tahoma"/>
          <w:color w:val="auto"/>
          <w:spacing w:val="0"/>
        </w:rPr>
        <w:t xml:space="preserve"> be reimbursed on production of an itemised telephone bill. </w:t>
      </w:r>
      <w:r w:rsidR="003D1139" w:rsidRPr="00753DED">
        <w:rPr>
          <w:rFonts w:ascii="Tahoma" w:hAnsi="Tahoma" w:cs="Tahoma"/>
          <w:color w:val="auto"/>
          <w:spacing w:val="0"/>
        </w:rPr>
        <w:br/>
      </w:r>
    </w:p>
    <w:p w14:paraId="5D2DB056" w14:textId="28C518D5" w:rsidR="004B19BF" w:rsidRPr="00753DED" w:rsidRDefault="004B19BF" w:rsidP="003D1139">
      <w:pPr>
        <w:pStyle w:val="text"/>
        <w:numPr>
          <w:ilvl w:val="1"/>
          <w:numId w:val="4"/>
        </w:numPr>
        <w:spacing w:after="0" w:line="240" w:lineRule="auto"/>
        <w:ind w:left="567" w:hanging="567"/>
        <w:jc w:val="left"/>
        <w:rPr>
          <w:rFonts w:ascii="Tahoma" w:hAnsi="Tahoma" w:cs="Tahoma"/>
          <w:color w:val="auto"/>
          <w:spacing w:val="0"/>
        </w:rPr>
      </w:pPr>
      <w:r w:rsidRPr="00753DED">
        <w:rPr>
          <w:rFonts w:ascii="Tahoma" w:hAnsi="Tahoma" w:cs="Tahoma"/>
          <w:color w:val="auto"/>
          <w:spacing w:val="0"/>
        </w:rPr>
        <w:t xml:space="preserve">Members of staff who are provided with </w:t>
      </w:r>
      <w:r w:rsidR="00A723EC" w:rsidRPr="00753DED">
        <w:rPr>
          <w:rFonts w:ascii="Tahoma" w:hAnsi="Tahoma" w:cs="Tahoma"/>
          <w:color w:val="auto"/>
          <w:spacing w:val="0"/>
        </w:rPr>
        <w:t xml:space="preserve">Lightwave owned </w:t>
      </w:r>
      <w:r w:rsidRPr="00753DED">
        <w:rPr>
          <w:rFonts w:ascii="Tahoma" w:hAnsi="Tahoma" w:cs="Tahoma"/>
          <w:color w:val="auto"/>
          <w:spacing w:val="0"/>
        </w:rPr>
        <w:t>mobile telephones will automatically have the costs of th</w:t>
      </w:r>
      <w:r w:rsidR="00BB121C" w:rsidRPr="00753DED">
        <w:rPr>
          <w:rFonts w:ascii="Tahoma" w:hAnsi="Tahoma" w:cs="Tahoma"/>
          <w:color w:val="auto"/>
          <w:spacing w:val="0"/>
        </w:rPr>
        <w:t xml:space="preserve">eir business calls reimbursed. Incidental private calls will be covered but please be aware that </w:t>
      </w:r>
      <w:r w:rsidR="00C360D1" w:rsidRPr="00753DED">
        <w:rPr>
          <w:rFonts w:ascii="Tahoma" w:hAnsi="Tahoma" w:cs="Tahoma"/>
          <w:color w:val="auto"/>
          <w:spacing w:val="0"/>
        </w:rPr>
        <w:t>Lightwave</w:t>
      </w:r>
      <w:r w:rsidR="00BB121C" w:rsidRPr="00753DED">
        <w:rPr>
          <w:rFonts w:ascii="Tahoma" w:hAnsi="Tahoma" w:cs="Tahoma"/>
          <w:color w:val="auto"/>
          <w:spacing w:val="0"/>
        </w:rPr>
        <w:t xml:space="preserve"> reserve the right to recover excessive calls or data charges if necessary.  </w:t>
      </w:r>
      <w:r w:rsidR="003D1139" w:rsidRPr="00753DED">
        <w:rPr>
          <w:rFonts w:ascii="Tahoma" w:hAnsi="Tahoma" w:cs="Tahoma"/>
          <w:color w:val="auto"/>
          <w:spacing w:val="0"/>
        </w:rPr>
        <w:br/>
      </w:r>
    </w:p>
    <w:p w14:paraId="3CD2BF84" w14:textId="77777777" w:rsidR="004B19BF" w:rsidRPr="00753DED" w:rsidRDefault="004B19BF" w:rsidP="003D1139">
      <w:pPr>
        <w:pStyle w:val="Subtitle2"/>
        <w:keepNext w:val="0"/>
        <w:numPr>
          <w:ilvl w:val="0"/>
          <w:numId w:val="4"/>
        </w:numPr>
        <w:spacing w:before="0" w:after="0" w:line="240" w:lineRule="auto"/>
        <w:ind w:left="567" w:hanging="567"/>
        <w:jc w:val="both"/>
        <w:rPr>
          <w:rFonts w:ascii="Tahoma" w:hAnsi="Tahoma" w:cs="Tahoma"/>
          <w:color w:val="auto"/>
          <w:sz w:val="22"/>
          <w:szCs w:val="22"/>
        </w:rPr>
      </w:pPr>
      <w:r w:rsidRPr="00753DED">
        <w:rPr>
          <w:rFonts w:ascii="Tahoma" w:hAnsi="Tahoma" w:cs="Tahoma"/>
          <w:color w:val="auto"/>
          <w:sz w:val="22"/>
          <w:szCs w:val="22"/>
        </w:rPr>
        <w:t>Staff and client entertainment</w:t>
      </w:r>
    </w:p>
    <w:p w14:paraId="7C09F07C" w14:textId="1F7E99A1" w:rsidR="004B19BF" w:rsidRPr="00753DED" w:rsidRDefault="004B19BF" w:rsidP="003D1139">
      <w:pPr>
        <w:pStyle w:val="text"/>
        <w:numPr>
          <w:ilvl w:val="1"/>
          <w:numId w:val="4"/>
        </w:numPr>
        <w:spacing w:after="0" w:line="240" w:lineRule="auto"/>
        <w:ind w:left="567" w:hanging="567"/>
        <w:rPr>
          <w:rFonts w:ascii="Tahoma" w:hAnsi="Tahoma" w:cs="Tahoma"/>
          <w:color w:val="auto"/>
          <w:spacing w:val="0"/>
        </w:rPr>
      </w:pPr>
      <w:r w:rsidRPr="00753DED">
        <w:rPr>
          <w:rFonts w:ascii="Tahoma" w:hAnsi="Tahoma" w:cs="Tahoma"/>
          <w:color w:val="auto"/>
          <w:spacing w:val="0"/>
        </w:rPr>
        <w:t xml:space="preserve">Client entertaining means hospitality provided by </w:t>
      </w:r>
      <w:r w:rsidR="00C360D1" w:rsidRPr="00753DED">
        <w:rPr>
          <w:rFonts w:ascii="Tahoma" w:hAnsi="Tahoma" w:cs="Tahoma"/>
          <w:color w:val="auto"/>
          <w:spacing w:val="0"/>
        </w:rPr>
        <w:t>Lightwave</w:t>
      </w:r>
      <w:r w:rsidRPr="00753DED">
        <w:rPr>
          <w:rFonts w:ascii="Tahoma" w:hAnsi="Tahoma" w:cs="Tahoma"/>
          <w:color w:val="auto"/>
          <w:spacing w:val="0"/>
        </w:rPr>
        <w:t xml:space="preserve"> or its employees to non-</w:t>
      </w:r>
      <w:r w:rsidR="00267326" w:rsidRPr="00753DED">
        <w:rPr>
          <w:rFonts w:ascii="Tahoma" w:hAnsi="Tahoma" w:cs="Tahoma"/>
          <w:color w:val="auto"/>
          <w:spacing w:val="0"/>
        </w:rPr>
        <w:t>Lightwave</w:t>
      </w:r>
      <w:r w:rsidR="00362061" w:rsidRPr="00753DED">
        <w:rPr>
          <w:rFonts w:ascii="Tahoma" w:hAnsi="Tahoma" w:cs="Tahoma"/>
          <w:color w:val="auto"/>
          <w:spacing w:val="0"/>
        </w:rPr>
        <w:t xml:space="preserve"> </w:t>
      </w:r>
      <w:r w:rsidRPr="00753DED">
        <w:rPr>
          <w:rFonts w:ascii="Tahoma" w:hAnsi="Tahoma" w:cs="Tahoma"/>
          <w:color w:val="auto"/>
          <w:spacing w:val="0"/>
        </w:rPr>
        <w:t xml:space="preserve">employees in connection with the business of </w:t>
      </w:r>
      <w:r w:rsidR="00C360D1" w:rsidRPr="00753DED">
        <w:rPr>
          <w:rFonts w:ascii="Tahoma" w:hAnsi="Tahoma" w:cs="Tahoma"/>
          <w:color w:val="auto"/>
          <w:spacing w:val="0"/>
        </w:rPr>
        <w:t>Lightwave</w:t>
      </w:r>
      <w:r w:rsidRPr="00753DED">
        <w:rPr>
          <w:rFonts w:ascii="Tahoma" w:hAnsi="Tahoma" w:cs="Tahoma"/>
          <w:color w:val="auto"/>
          <w:spacing w:val="0"/>
        </w:rPr>
        <w:t xml:space="preserve">.  This will normally only involve senior members of staff who must judge the actual reasonable (moderate) costs of entertaining on any given genuine business occasion.   If in any doubt, you should refer to the </w:t>
      </w:r>
      <w:r w:rsidR="00A723EC" w:rsidRPr="00753DED">
        <w:rPr>
          <w:rFonts w:ascii="Tahoma" w:hAnsi="Tahoma" w:cs="Tahoma"/>
          <w:color w:val="auto"/>
          <w:spacing w:val="0"/>
        </w:rPr>
        <w:t>Lightwave Treasurer</w:t>
      </w:r>
      <w:r w:rsidRPr="00753DED">
        <w:rPr>
          <w:rFonts w:ascii="Tahoma" w:hAnsi="Tahoma" w:cs="Tahoma"/>
          <w:color w:val="auto"/>
          <w:spacing w:val="0"/>
        </w:rPr>
        <w:t xml:space="preserve"> for guidance.</w:t>
      </w:r>
    </w:p>
    <w:p w14:paraId="093A6B1F" w14:textId="77777777" w:rsidR="00A723EC" w:rsidRPr="00753DED" w:rsidRDefault="00A723EC" w:rsidP="00A723EC">
      <w:pPr>
        <w:pStyle w:val="text"/>
        <w:spacing w:after="0" w:line="240" w:lineRule="auto"/>
        <w:ind w:left="567"/>
        <w:rPr>
          <w:rFonts w:ascii="Tahoma" w:hAnsi="Tahoma" w:cs="Tahoma"/>
          <w:color w:val="auto"/>
          <w:spacing w:val="0"/>
        </w:rPr>
      </w:pPr>
    </w:p>
    <w:p w14:paraId="245BB478" w14:textId="5E36FA1C" w:rsidR="004B19BF" w:rsidRPr="00753DED" w:rsidRDefault="004B19BF" w:rsidP="003D1139">
      <w:pPr>
        <w:pStyle w:val="text"/>
        <w:numPr>
          <w:ilvl w:val="1"/>
          <w:numId w:val="4"/>
        </w:numPr>
        <w:spacing w:after="0" w:line="240" w:lineRule="auto"/>
        <w:ind w:left="567" w:hanging="567"/>
        <w:rPr>
          <w:rFonts w:ascii="Tahoma" w:hAnsi="Tahoma" w:cs="Tahoma"/>
          <w:color w:val="auto"/>
          <w:spacing w:val="0"/>
        </w:rPr>
      </w:pPr>
      <w:r w:rsidRPr="00753DED">
        <w:rPr>
          <w:rFonts w:ascii="Tahoma" w:hAnsi="Tahoma" w:cs="Tahoma"/>
          <w:color w:val="auto"/>
          <w:spacing w:val="0"/>
        </w:rPr>
        <w:t xml:space="preserve">Entertainment expenses can be claimed providing that an individual from outside the organisation is present.  Where there is no business obligation to entertain people, or the people present are all employees of </w:t>
      </w:r>
      <w:r w:rsidR="00A723EC" w:rsidRPr="00753DED">
        <w:rPr>
          <w:rFonts w:ascii="Tahoma" w:hAnsi="Tahoma" w:cs="Tahoma"/>
          <w:color w:val="auto"/>
          <w:spacing w:val="0"/>
        </w:rPr>
        <w:t>Lightwave</w:t>
      </w:r>
      <w:r w:rsidRPr="00753DED">
        <w:rPr>
          <w:rFonts w:ascii="Tahoma" w:hAnsi="Tahoma" w:cs="Tahoma"/>
          <w:color w:val="auto"/>
          <w:spacing w:val="0"/>
        </w:rPr>
        <w:t xml:space="preserve">, the expenses may still be allowed but </w:t>
      </w:r>
      <w:r w:rsidR="00A723EC" w:rsidRPr="00753DED">
        <w:rPr>
          <w:rFonts w:ascii="Tahoma" w:hAnsi="Tahoma" w:cs="Tahoma"/>
          <w:color w:val="auto"/>
          <w:spacing w:val="0"/>
        </w:rPr>
        <w:t>may be</w:t>
      </w:r>
      <w:r w:rsidRPr="00753DED">
        <w:rPr>
          <w:rFonts w:ascii="Tahoma" w:hAnsi="Tahoma" w:cs="Tahoma"/>
          <w:color w:val="auto"/>
          <w:spacing w:val="0"/>
        </w:rPr>
        <w:t xml:space="preserve"> entered on </w:t>
      </w:r>
      <w:r w:rsidR="00B72534" w:rsidRPr="00753DED">
        <w:rPr>
          <w:rFonts w:ascii="Tahoma" w:hAnsi="Tahoma" w:cs="Tahoma"/>
          <w:color w:val="auto"/>
          <w:spacing w:val="0"/>
        </w:rPr>
        <w:t xml:space="preserve">any employees’ </w:t>
      </w:r>
      <w:r w:rsidRPr="00753DED">
        <w:rPr>
          <w:rFonts w:ascii="Tahoma" w:hAnsi="Tahoma" w:cs="Tahoma"/>
          <w:color w:val="auto"/>
          <w:spacing w:val="0"/>
        </w:rPr>
        <w:t>P11Ds</w:t>
      </w:r>
      <w:r w:rsidR="00A723EC" w:rsidRPr="00753DED">
        <w:rPr>
          <w:rFonts w:ascii="Tahoma" w:hAnsi="Tahoma" w:cs="Tahoma"/>
          <w:color w:val="auto"/>
          <w:spacing w:val="0"/>
        </w:rPr>
        <w:t xml:space="preserve"> depending on the tax guidance prevailing at the time</w:t>
      </w:r>
      <w:r w:rsidRPr="00753DED">
        <w:rPr>
          <w:rFonts w:ascii="Tahoma" w:hAnsi="Tahoma" w:cs="Tahoma"/>
          <w:color w:val="auto"/>
          <w:spacing w:val="0"/>
        </w:rPr>
        <w:t>.  The claim form should be completed in such a way as to provide sufficient information to indicate whether or not the expense includes at least one individual from outside the organisation</w:t>
      </w:r>
      <w:r w:rsidR="00B72534" w:rsidRPr="00753DED">
        <w:rPr>
          <w:rFonts w:ascii="Tahoma" w:hAnsi="Tahoma" w:cs="Tahoma"/>
          <w:color w:val="auto"/>
          <w:spacing w:val="0"/>
        </w:rPr>
        <w:t xml:space="preserve"> – preferably by listing the names of those present</w:t>
      </w:r>
      <w:r w:rsidRPr="00753DED">
        <w:rPr>
          <w:rFonts w:ascii="Tahoma" w:hAnsi="Tahoma" w:cs="Tahoma"/>
          <w:color w:val="auto"/>
          <w:spacing w:val="0"/>
        </w:rPr>
        <w:t>.</w:t>
      </w:r>
    </w:p>
    <w:p w14:paraId="729A2E22" w14:textId="77777777" w:rsidR="003D1139" w:rsidRPr="00753DED" w:rsidRDefault="003D1139" w:rsidP="003D1139">
      <w:pPr>
        <w:pStyle w:val="text"/>
        <w:spacing w:after="0" w:line="240" w:lineRule="auto"/>
        <w:ind w:left="567"/>
        <w:rPr>
          <w:rFonts w:ascii="Tahoma" w:hAnsi="Tahoma" w:cs="Tahoma"/>
          <w:color w:val="auto"/>
          <w:spacing w:val="0"/>
        </w:rPr>
      </w:pPr>
    </w:p>
    <w:p w14:paraId="6D2716F7" w14:textId="1BF1AC85" w:rsidR="004B19BF" w:rsidRPr="00753DED" w:rsidRDefault="004B19BF" w:rsidP="003D1139">
      <w:pPr>
        <w:pStyle w:val="text"/>
        <w:numPr>
          <w:ilvl w:val="1"/>
          <w:numId w:val="4"/>
        </w:numPr>
        <w:spacing w:after="0" w:line="240" w:lineRule="auto"/>
        <w:ind w:left="567" w:hanging="567"/>
        <w:rPr>
          <w:rFonts w:ascii="Tahoma" w:hAnsi="Tahoma" w:cs="Tahoma"/>
          <w:color w:val="auto"/>
          <w:spacing w:val="0"/>
        </w:rPr>
      </w:pPr>
      <w:r w:rsidRPr="00753DED">
        <w:rPr>
          <w:rFonts w:ascii="Tahoma" w:hAnsi="Tahoma" w:cs="Tahoma"/>
          <w:color w:val="auto"/>
          <w:spacing w:val="0"/>
        </w:rPr>
        <w:t xml:space="preserve">You are reminded that while genuine and reasonable corporate hospitality is both acceptable and in keeping with the nature and purposes of the work of </w:t>
      </w:r>
      <w:r w:rsidR="00C360D1" w:rsidRPr="00753DED">
        <w:rPr>
          <w:rFonts w:ascii="Tahoma" w:hAnsi="Tahoma" w:cs="Tahoma"/>
          <w:color w:val="auto"/>
          <w:spacing w:val="0"/>
        </w:rPr>
        <w:t>Lightwave</w:t>
      </w:r>
      <w:r w:rsidRPr="00753DED">
        <w:rPr>
          <w:rFonts w:ascii="Tahoma" w:hAnsi="Tahoma" w:cs="Tahoma"/>
          <w:color w:val="auto"/>
          <w:spacing w:val="0"/>
        </w:rPr>
        <w:t xml:space="preserve">, it is an offence, under the Bribery Act 2010, to offer or give a financial or other inducement to another person to perform any activity connected with a business improperly or to reward that person for doing so.  An example of such inducement or reward could include excessive or inappropriate hospitality.  For further details, please refer to </w:t>
      </w:r>
      <w:r w:rsidR="00C360D1" w:rsidRPr="00753DED">
        <w:rPr>
          <w:rFonts w:ascii="Tahoma" w:hAnsi="Tahoma" w:cs="Tahoma"/>
          <w:color w:val="auto"/>
          <w:spacing w:val="0"/>
        </w:rPr>
        <w:t>Lightwave</w:t>
      </w:r>
      <w:r w:rsidR="00362061" w:rsidRPr="00753DED">
        <w:rPr>
          <w:rFonts w:ascii="Tahoma" w:hAnsi="Tahoma" w:cs="Tahoma"/>
          <w:color w:val="auto"/>
          <w:spacing w:val="0"/>
        </w:rPr>
        <w:t xml:space="preserve">’s </w:t>
      </w:r>
      <w:r w:rsidRPr="00753DED">
        <w:rPr>
          <w:rFonts w:ascii="Tahoma" w:hAnsi="Tahoma" w:cs="Tahoma"/>
          <w:color w:val="auto"/>
          <w:spacing w:val="0"/>
        </w:rPr>
        <w:t xml:space="preserve">Anti-Corruption and Bribery Policy.  </w:t>
      </w:r>
    </w:p>
    <w:p w14:paraId="5C4620B0" w14:textId="77777777" w:rsidR="003D1139" w:rsidRPr="00753DED" w:rsidRDefault="003D1139" w:rsidP="003D1139">
      <w:pPr>
        <w:pStyle w:val="text"/>
        <w:spacing w:after="0" w:line="240" w:lineRule="auto"/>
        <w:ind w:left="567"/>
        <w:rPr>
          <w:rFonts w:ascii="Tahoma" w:hAnsi="Tahoma" w:cs="Tahoma"/>
          <w:color w:val="auto"/>
          <w:spacing w:val="0"/>
        </w:rPr>
      </w:pPr>
    </w:p>
    <w:p w14:paraId="0FA8E47D" w14:textId="77777777" w:rsidR="004B19BF" w:rsidRPr="00753DED" w:rsidRDefault="004B19BF" w:rsidP="003D1139">
      <w:pPr>
        <w:pStyle w:val="Subtitle2"/>
        <w:numPr>
          <w:ilvl w:val="0"/>
          <w:numId w:val="4"/>
        </w:numPr>
        <w:spacing w:before="0" w:after="0" w:line="240" w:lineRule="auto"/>
        <w:ind w:left="567" w:hanging="567"/>
        <w:jc w:val="both"/>
        <w:rPr>
          <w:rFonts w:ascii="Tahoma" w:hAnsi="Tahoma" w:cs="Tahoma"/>
          <w:color w:val="auto"/>
          <w:sz w:val="22"/>
          <w:szCs w:val="22"/>
        </w:rPr>
      </w:pPr>
      <w:r w:rsidRPr="00753DED">
        <w:rPr>
          <w:rFonts w:ascii="Tahoma" w:hAnsi="Tahoma" w:cs="Tahoma"/>
          <w:color w:val="auto"/>
          <w:sz w:val="22"/>
          <w:szCs w:val="22"/>
        </w:rPr>
        <w:t>Other expenses</w:t>
      </w:r>
    </w:p>
    <w:p w14:paraId="3204D680" w14:textId="54624408" w:rsidR="00C443E2" w:rsidRPr="00753DED" w:rsidRDefault="004B19BF" w:rsidP="00B32746">
      <w:pPr>
        <w:pStyle w:val="text"/>
        <w:keepNext/>
        <w:numPr>
          <w:ilvl w:val="1"/>
          <w:numId w:val="4"/>
        </w:numPr>
        <w:spacing w:after="0" w:line="240" w:lineRule="auto"/>
        <w:ind w:left="567" w:hanging="567"/>
        <w:rPr>
          <w:rFonts w:ascii="Tahoma" w:hAnsi="Tahoma" w:cs="Tahoma"/>
          <w:color w:val="auto"/>
          <w:spacing w:val="0"/>
        </w:rPr>
      </w:pPr>
      <w:r w:rsidRPr="00753DED">
        <w:rPr>
          <w:rFonts w:ascii="Tahoma" w:hAnsi="Tahoma" w:cs="Tahoma"/>
          <w:color w:val="auto"/>
          <w:spacing w:val="0"/>
        </w:rPr>
        <w:t xml:space="preserve">Before incurring any other kind of expense not detailed above you should seek the prior approval of your </w:t>
      </w:r>
      <w:r w:rsidR="00362061" w:rsidRPr="00753DED">
        <w:rPr>
          <w:rFonts w:ascii="Tahoma" w:hAnsi="Tahoma" w:cs="Tahoma"/>
          <w:color w:val="auto"/>
          <w:spacing w:val="0"/>
        </w:rPr>
        <w:t>L</w:t>
      </w:r>
      <w:r w:rsidRPr="00753DED">
        <w:rPr>
          <w:rFonts w:ascii="Tahoma" w:hAnsi="Tahoma" w:cs="Tahoma"/>
          <w:color w:val="auto"/>
          <w:spacing w:val="0"/>
        </w:rPr>
        <w:t xml:space="preserve">ine </w:t>
      </w:r>
      <w:r w:rsidR="00362061" w:rsidRPr="00753DED">
        <w:rPr>
          <w:rFonts w:ascii="Tahoma" w:hAnsi="Tahoma" w:cs="Tahoma"/>
          <w:color w:val="auto"/>
          <w:spacing w:val="0"/>
        </w:rPr>
        <w:t>M</w:t>
      </w:r>
      <w:r w:rsidRPr="00753DED">
        <w:rPr>
          <w:rFonts w:ascii="Tahoma" w:hAnsi="Tahoma" w:cs="Tahoma"/>
          <w:color w:val="auto"/>
          <w:spacing w:val="0"/>
        </w:rPr>
        <w:t>anager</w:t>
      </w:r>
      <w:r w:rsidR="00745596" w:rsidRPr="00753DED">
        <w:rPr>
          <w:rFonts w:ascii="Tahoma" w:hAnsi="Tahoma" w:cs="Tahoma"/>
          <w:color w:val="auto"/>
          <w:spacing w:val="0"/>
        </w:rPr>
        <w:t xml:space="preserve">, and where there is a degree of uncertainty, the </w:t>
      </w:r>
      <w:r w:rsidR="00A723EC" w:rsidRPr="00753DED">
        <w:rPr>
          <w:rFonts w:ascii="Tahoma" w:hAnsi="Tahoma" w:cs="Tahoma"/>
          <w:color w:val="auto"/>
          <w:spacing w:val="0"/>
        </w:rPr>
        <w:t>Lightwave Treasurer</w:t>
      </w:r>
    </w:p>
    <w:p w14:paraId="76DE5217" w14:textId="77777777" w:rsidR="00193456" w:rsidRPr="00753DED" w:rsidRDefault="00193456" w:rsidP="003D1139">
      <w:pPr>
        <w:pStyle w:val="text"/>
        <w:keepNext/>
        <w:spacing w:after="0" w:line="240" w:lineRule="auto"/>
        <w:ind w:left="567" w:hanging="567"/>
        <w:rPr>
          <w:rFonts w:ascii="Tahoma" w:hAnsi="Tahoma" w:cs="Tahoma"/>
          <w:color w:val="auto"/>
          <w:spacing w:val="0"/>
        </w:rPr>
      </w:pPr>
    </w:p>
    <w:p w14:paraId="29DDB46F" w14:textId="77777777" w:rsidR="007250E7" w:rsidRPr="00753DED" w:rsidRDefault="007250E7" w:rsidP="003D1139">
      <w:pPr>
        <w:pStyle w:val="ListParagraph"/>
        <w:numPr>
          <w:ilvl w:val="0"/>
          <w:numId w:val="4"/>
        </w:numPr>
        <w:ind w:left="567" w:hanging="567"/>
        <w:contextualSpacing w:val="0"/>
        <w:rPr>
          <w:rFonts w:ascii="Tahoma" w:hAnsi="Tahoma" w:cs="Tahoma"/>
          <w:b/>
          <w:bCs/>
          <w:sz w:val="22"/>
          <w:szCs w:val="22"/>
        </w:rPr>
      </w:pPr>
      <w:r w:rsidRPr="00753DED">
        <w:rPr>
          <w:rFonts w:ascii="Tahoma" w:hAnsi="Tahoma" w:cs="Tahoma"/>
          <w:b/>
          <w:bCs/>
          <w:sz w:val="22"/>
          <w:szCs w:val="22"/>
        </w:rPr>
        <w:t>Expenses for overseas visitors</w:t>
      </w:r>
    </w:p>
    <w:p w14:paraId="2ABDA43F" w14:textId="69958AEA" w:rsidR="007250E7" w:rsidRPr="00753DED" w:rsidRDefault="007250E7" w:rsidP="003D1139">
      <w:pPr>
        <w:pStyle w:val="ListParagraph"/>
        <w:numPr>
          <w:ilvl w:val="1"/>
          <w:numId w:val="12"/>
        </w:numPr>
        <w:ind w:left="567" w:hanging="567"/>
        <w:contextualSpacing w:val="0"/>
        <w:rPr>
          <w:rFonts w:ascii="Tahoma" w:hAnsi="Tahoma" w:cs="Tahoma"/>
          <w:sz w:val="22"/>
          <w:szCs w:val="22"/>
        </w:rPr>
      </w:pPr>
      <w:r w:rsidRPr="00753DED">
        <w:rPr>
          <w:rFonts w:ascii="Tahoma" w:hAnsi="Tahoma" w:cs="Tahoma"/>
          <w:sz w:val="22"/>
          <w:szCs w:val="22"/>
        </w:rPr>
        <w:lastRenderedPageBreak/>
        <w:t>Where a volunteer is hosting an overseas visitor (</w:t>
      </w:r>
      <w:r w:rsidR="00A723EC" w:rsidRPr="00753DED">
        <w:rPr>
          <w:rFonts w:ascii="Tahoma" w:hAnsi="Tahoma" w:cs="Tahoma"/>
          <w:sz w:val="22"/>
          <w:szCs w:val="22"/>
        </w:rPr>
        <w:t>s</w:t>
      </w:r>
      <w:r w:rsidRPr="00753DED">
        <w:rPr>
          <w:rFonts w:ascii="Tahoma" w:hAnsi="Tahoma" w:cs="Tahoma"/>
          <w:sz w:val="22"/>
          <w:szCs w:val="22"/>
        </w:rPr>
        <w:t xml:space="preserve">uch as from the Diocese of </w:t>
      </w:r>
      <w:proofErr w:type="spellStart"/>
      <w:r w:rsidRPr="00753DED">
        <w:rPr>
          <w:rFonts w:ascii="Tahoma" w:hAnsi="Tahoma" w:cs="Tahoma"/>
          <w:sz w:val="22"/>
          <w:szCs w:val="22"/>
        </w:rPr>
        <w:t>Kagera</w:t>
      </w:r>
      <w:proofErr w:type="spellEnd"/>
      <w:r w:rsidRPr="00753DED">
        <w:rPr>
          <w:rFonts w:ascii="Tahoma" w:hAnsi="Tahoma" w:cs="Tahoma"/>
          <w:sz w:val="22"/>
          <w:szCs w:val="22"/>
        </w:rPr>
        <w:t xml:space="preserve">), </w:t>
      </w:r>
      <w:r w:rsidR="00C360D1" w:rsidRPr="00753DED">
        <w:rPr>
          <w:rFonts w:ascii="Tahoma" w:hAnsi="Tahoma" w:cs="Tahoma"/>
          <w:sz w:val="22"/>
          <w:szCs w:val="22"/>
        </w:rPr>
        <w:t>Lightwave</w:t>
      </w:r>
      <w:r w:rsidRPr="00753DED">
        <w:rPr>
          <w:rFonts w:ascii="Tahoma" w:hAnsi="Tahoma" w:cs="Tahoma"/>
          <w:sz w:val="22"/>
          <w:szCs w:val="22"/>
        </w:rPr>
        <w:t xml:space="preserve"> will pay a contribution of £15 </w:t>
      </w:r>
      <w:r w:rsidR="00F8640F" w:rsidRPr="00753DED">
        <w:rPr>
          <w:rFonts w:ascii="Tahoma" w:hAnsi="Tahoma" w:cs="Tahoma"/>
          <w:sz w:val="22"/>
          <w:szCs w:val="22"/>
        </w:rPr>
        <w:t xml:space="preserve">a day </w:t>
      </w:r>
      <w:r w:rsidRPr="00753DED">
        <w:rPr>
          <w:rFonts w:ascii="Tahoma" w:hAnsi="Tahoma" w:cs="Tahoma"/>
          <w:sz w:val="22"/>
          <w:szCs w:val="22"/>
        </w:rPr>
        <w:t xml:space="preserve">as an allowance towards meals, </w:t>
      </w:r>
      <w:r w:rsidR="00C9216C" w:rsidRPr="00753DED">
        <w:rPr>
          <w:rFonts w:ascii="Tahoma" w:hAnsi="Tahoma" w:cs="Tahoma"/>
          <w:sz w:val="22"/>
          <w:szCs w:val="22"/>
        </w:rPr>
        <w:t>travel,</w:t>
      </w:r>
      <w:r w:rsidRPr="00753DED">
        <w:rPr>
          <w:rFonts w:ascii="Tahoma" w:hAnsi="Tahoma" w:cs="Tahoma"/>
          <w:sz w:val="22"/>
          <w:szCs w:val="22"/>
        </w:rPr>
        <w:t xml:space="preserve"> and sundry items. These expenses are claimed in the normal way.</w:t>
      </w:r>
    </w:p>
    <w:p w14:paraId="0FF6B4F2" w14:textId="77777777" w:rsidR="007250E7" w:rsidRPr="00753DED" w:rsidRDefault="007250E7" w:rsidP="003D1139">
      <w:pPr>
        <w:pStyle w:val="text"/>
        <w:keepNext/>
        <w:spacing w:after="0" w:line="240" w:lineRule="auto"/>
        <w:ind w:left="567" w:hanging="567"/>
        <w:rPr>
          <w:rFonts w:ascii="Tahoma" w:hAnsi="Tahoma" w:cs="Tahoma"/>
        </w:rPr>
      </w:pPr>
    </w:p>
    <w:p w14:paraId="3A32B53D" w14:textId="13C0748E" w:rsidR="00656E1C" w:rsidRPr="00753DED" w:rsidRDefault="00745596" w:rsidP="003D1139">
      <w:pPr>
        <w:pStyle w:val="text"/>
        <w:keepNext/>
        <w:tabs>
          <w:tab w:val="left" w:pos="9100"/>
        </w:tabs>
        <w:spacing w:after="0" w:line="240" w:lineRule="auto"/>
        <w:ind w:left="3600"/>
        <w:jc w:val="left"/>
        <w:rPr>
          <w:rFonts w:ascii="Tahoma" w:hAnsi="Tahoma" w:cs="Tahoma"/>
          <w:color w:val="auto"/>
          <w:spacing w:val="0"/>
        </w:rPr>
      </w:pPr>
      <w:r w:rsidRPr="00753DED">
        <w:rPr>
          <w:rFonts w:ascii="Tahoma" w:hAnsi="Tahoma" w:cs="Tahoma"/>
        </w:rPr>
        <w:tab/>
      </w:r>
    </w:p>
    <w:p w14:paraId="465FB15D" w14:textId="74044A02" w:rsidR="00656E1C" w:rsidRPr="00753DED" w:rsidRDefault="001B0F00" w:rsidP="003D1139">
      <w:pPr>
        <w:jc w:val="right"/>
        <w:rPr>
          <w:rFonts w:ascii="Tahoma" w:hAnsi="Tahoma" w:cs="Tahoma"/>
          <w:sz w:val="22"/>
          <w:szCs w:val="22"/>
        </w:rPr>
      </w:pPr>
      <w:r>
        <w:rPr>
          <w:rFonts w:ascii="Tahoma" w:hAnsi="Tahoma" w:cs="Tahoma"/>
          <w:sz w:val="22"/>
          <w:szCs w:val="22"/>
        </w:rPr>
        <w:t xml:space="preserve">June </w:t>
      </w:r>
      <w:r w:rsidR="00A723EC" w:rsidRPr="00753DED">
        <w:rPr>
          <w:rFonts w:ascii="Tahoma" w:hAnsi="Tahoma" w:cs="Tahoma"/>
          <w:sz w:val="22"/>
          <w:szCs w:val="22"/>
        </w:rPr>
        <w:t>2021</w:t>
      </w:r>
    </w:p>
    <w:p w14:paraId="2B255F4E" w14:textId="77777777" w:rsidR="003D1139" w:rsidRPr="00753DED" w:rsidRDefault="003D1139" w:rsidP="003D1139">
      <w:pPr>
        <w:jc w:val="right"/>
        <w:rPr>
          <w:rFonts w:ascii="Tahoma" w:hAnsi="Tahoma" w:cs="Tahoma"/>
          <w:sz w:val="22"/>
          <w:szCs w:val="22"/>
        </w:rPr>
      </w:pPr>
    </w:p>
    <w:p w14:paraId="294CA678" w14:textId="77777777" w:rsidR="00885CDE" w:rsidRPr="00D2506C" w:rsidRDefault="00885CDE" w:rsidP="00885CDE">
      <w:pPr>
        <w:spacing w:before="60" w:after="60"/>
      </w:pPr>
    </w:p>
    <w:tbl>
      <w:tblPr>
        <w:tblStyle w:val="TableGrid"/>
        <w:tblW w:w="4921" w:type="pct"/>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02"/>
        <w:gridCol w:w="6123"/>
      </w:tblGrid>
      <w:tr w:rsidR="00885CDE" w:rsidRPr="00885CDE" w14:paraId="635B3125" w14:textId="77777777" w:rsidTr="003D4466">
        <w:tc>
          <w:tcPr>
            <w:tcW w:w="5000" w:type="pct"/>
            <w:gridSpan w:val="2"/>
            <w:shd w:val="clear" w:color="auto" w:fill="DEEAF6" w:themeFill="accent1" w:themeFillTint="33"/>
          </w:tcPr>
          <w:p w14:paraId="7C9B0D53" w14:textId="77777777" w:rsidR="00885CDE" w:rsidRPr="00885CDE" w:rsidRDefault="00885CDE" w:rsidP="00885CDE">
            <w:pPr>
              <w:rPr>
                <w:rFonts w:ascii="Tahoma" w:hAnsi="Tahoma" w:cs="Tahoma"/>
                <w:bCs/>
                <w:sz w:val="20"/>
                <w:szCs w:val="20"/>
              </w:rPr>
            </w:pPr>
            <w:r w:rsidRPr="00885CDE">
              <w:rPr>
                <w:rFonts w:ascii="Tahoma" w:hAnsi="Tahoma" w:cs="Tahoma"/>
                <w:bCs/>
                <w:sz w:val="20"/>
                <w:szCs w:val="20"/>
              </w:rPr>
              <w:t>Document Control Information</w:t>
            </w:r>
          </w:p>
        </w:tc>
      </w:tr>
      <w:tr w:rsidR="00885CDE" w:rsidRPr="00885CDE" w14:paraId="1E8C215C" w14:textId="77777777" w:rsidTr="003D4466">
        <w:tc>
          <w:tcPr>
            <w:tcW w:w="1786" w:type="pct"/>
          </w:tcPr>
          <w:p w14:paraId="3C794C5B" w14:textId="77777777" w:rsidR="00885CDE" w:rsidRPr="00885CDE" w:rsidRDefault="00885CDE" w:rsidP="00885CDE">
            <w:pPr>
              <w:rPr>
                <w:rFonts w:ascii="Tahoma" w:hAnsi="Tahoma" w:cs="Tahoma"/>
                <w:bCs/>
                <w:sz w:val="20"/>
                <w:szCs w:val="20"/>
              </w:rPr>
            </w:pPr>
            <w:r w:rsidRPr="00885CDE">
              <w:rPr>
                <w:rFonts w:ascii="Tahoma" w:hAnsi="Tahoma" w:cs="Tahoma"/>
                <w:bCs/>
                <w:sz w:val="20"/>
                <w:szCs w:val="20"/>
              </w:rPr>
              <w:t>Document Owner</w:t>
            </w:r>
          </w:p>
        </w:tc>
        <w:tc>
          <w:tcPr>
            <w:tcW w:w="3214" w:type="pct"/>
          </w:tcPr>
          <w:p w14:paraId="147318D3" w14:textId="77777777" w:rsidR="00885CDE" w:rsidRPr="00885CDE" w:rsidRDefault="00885CDE" w:rsidP="00885CDE">
            <w:pPr>
              <w:rPr>
                <w:rFonts w:ascii="Tahoma" w:hAnsi="Tahoma" w:cs="Tahoma"/>
                <w:bCs/>
                <w:sz w:val="20"/>
                <w:szCs w:val="20"/>
              </w:rPr>
            </w:pPr>
            <w:r w:rsidRPr="00885CDE">
              <w:rPr>
                <w:rFonts w:ascii="Tahoma" w:hAnsi="Tahoma" w:cs="Tahoma"/>
                <w:bCs/>
                <w:sz w:val="20"/>
                <w:szCs w:val="20"/>
              </w:rPr>
              <w:t>Lightwave Treasurer</w:t>
            </w:r>
          </w:p>
        </w:tc>
      </w:tr>
      <w:tr w:rsidR="00885CDE" w:rsidRPr="00885CDE" w14:paraId="3A6F551B" w14:textId="77777777" w:rsidTr="003D4466">
        <w:tc>
          <w:tcPr>
            <w:tcW w:w="1786" w:type="pct"/>
          </w:tcPr>
          <w:p w14:paraId="00E87D93" w14:textId="77777777" w:rsidR="00885CDE" w:rsidRPr="00885CDE" w:rsidRDefault="00885CDE" w:rsidP="00885CDE">
            <w:pPr>
              <w:rPr>
                <w:rFonts w:ascii="Tahoma" w:hAnsi="Tahoma" w:cs="Tahoma"/>
                <w:bCs/>
                <w:sz w:val="20"/>
                <w:szCs w:val="20"/>
              </w:rPr>
            </w:pPr>
            <w:r w:rsidRPr="00885CDE">
              <w:rPr>
                <w:rFonts w:ascii="Tahoma" w:hAnsi="Tahoma" w:cs="Tahoma"/>
                <w:bCs/>
                <w:sz w:val="20"/>
                <w:szCs w:val="20"/>
              </w:rPr>
              <w:t>Date Approved:</w:t>
            </w:r>
          </w:p>
        </w:tc>
        <w:tc>
          <w:tcPr>
            <w:tcW w:w="3214" w:type="pct"/>
          </w:tcPr>
          <w:p w14:paraId="722617E3" w14:textId="77777777" w:rsidR="00885CDE" w:rsidRPr="00885CDE" w:rsidRDefault="00885CDE" w:rsidP="00885CDE">
            <w:pPr>
              <w:rPr>
                <w:rFonts w:ascii="Tahoma" w:hAnsi="Tahoma" w:cs="Tahoma"/>
                <w:bCs/>
                <w:sz w:val="20"/>
                <w:szCs w:val="20"/>
              </w:rPr>
            </w:pPr>
            <w:r w:rsidRPr="00885CDE">
              <w:rPr>
                <w:rFonts w:ascii="Tahoma" w:hAnsi="Tahoma" w:cs="Tahoma"/>
                <w:bCs/>
                <w:sz w:val="20"/>
                <w:szCs w:val="20"/>
              </w:rPr>
              <w:t>June 2021 (TBC)</w:t>
            </w:r>
          </w:p>
        </w:tc>
      </w:tr>
      <w:tr w:rsidR="00885CDE" w:rsidRPr="00885CDE" w14:paraId="605C3883" w14:textId="77777777" w:rsidTr="003D4466">
        <w:tc>
          <w:tcPr>
            <w:tcW w:w="1786" w:type="pct"/>
          </w:tcPr>
          <w:p w14:paraId="5C20B291" w14:textId="77777777" w:rsidR="00885CDE" w:rsidRPr="00885CDE" w:rsidRDefault="00885CDE" w:rsidP="00885CDE">
            <w:pPr>
              <w:rPr>
                <w:rFonts w:ascii="Tahoma" w:hAnsi="Tahoma" w:cs="Tahoma"/>
                <w:bCs/>
                <w:sz w:val="20"/>
                <w:szCs w:val="20"/>
              </w:rPr>
            </w:pPr>
            <w:r w:rsidRPr="00885CDE">
              <w:rPr>
                <w:rFonts w:ascii="Tahoma" w:hAnsi="Tahoma" w:cs="Tahoma"/>
                <w:bCs/>
                <w:sz w:val="20"/>
                <w:szCs w:val="20"/>
              </w:rPr>
              <w:t xml:space="preserve">Approving Committee: </w:t>
            </w:r>
          </w:p>
        </w:tc>
        <w:tc>
          <w:tcPr>
            <w:tcW w:w="3214" w:type="pct"/>
          </w:tcPr>
          <w:p w14:paraId="6D6F42A2" w14:textId="77777777" w:rsidR="00885CDE" w:rsidRPr="00885CDE" w:rsidRDefault="00885CDE" w:rsidP="00885CDE">
            <w:pPr>
              <w:rPr>
                <w:rFonts w:ascii="Tahoma" w:hAnsi="Tahoma" w:cs="Tahoma"/>
                <w:bCs/>
                <w:sz w:val="20"/>
                <w:szCs w:val="20"/>
              </w:rPr>
            </w:pPr>
            <w:r w:rsidRPr="00885CDE">
              <w:rPr>
                <w:rFonts w:ascii="Tahoma" w:hAnsi="Tahoma" w:cs="Tahoma"/>
                <w:bCs/>
                <w:sz w:val="20"/>
                <w:szCs w:val="20"/>
              </w:rPr>
              <w:t>Lightwave Community Council</w:t>
            </w:r>
          </w:p>
        </w:tc>
      </w:tr>
      <w:tr w:rsidR="00885CDE" w:rsidRPr="00885CDE" w14:paraId="07A223A7" w14:textId="77777777" w:rsidTr="003D4466">
        <w:tc>
          <w:tcPr>
            <w:tcW w:w="1786" w:type="pct"/>
          </w:tcPr>
          <w:p w14:paraId="4CF0D693" w14:textId="77777777" w:rsidR="00885CDE" w:rsidRPr="00885CDE" w:rsidRDefault="00885CDE" w:rsidP="00885CDE">
            <w:pPr>
              <w:rPr>
                <w:rFonts w:ascii="Tahoma" w:hAnsi="Tahoma" w:cs="Tahoma"/>
                <w:bCs/>
                <w:sz w:val="20"/>
                <w:szCs w:val="20"/>
              </w:rPr>
            </w:pPr>
            <w:r w:rsidRPr="00885CDE">
              <w:rPr>
                <w:rFonts w:ascii="Tahoma" w:hAnsi="Tahoma" w:cs="Tahoma"/>
                <w:bCs/>
                <w:sz w:val="20"/>
                <w:szCs w:val="20"/>
              </w:rPr>
              <w:t>Version:</w:t>
            </w:r>
          </w:p>
        </w:tc>
        <w:tc>
          <w:tcPr>
            <w:tcW w:w="3214" w:type="pct"/>
          </w:tcPr>
          <w:p w14:paraId="4E64AF33" w14:textId="77777777" w:rsidR="00885CDE" w:rsidRPr="00885CDE" w:rsidRDefault="00885CDE" w:rsidP="00885CDE">
            <w:pPr>
              <w:rPr>
                <w:rFonts w:ascii="Tahoma" w:hAnsi="Tahoma" w:cs="Tahoma"/>
                <w:bCs/>
                <w:sz w:val="20"/>
                <w:szCs w:val="20"/>
              </w:rPr>
            </w:pPr>
            <w:r w:rsidRPr="00885CDE">
              <w:rPr>
                <w:rFonts w:ascii="Tahoma" w:hAnsi="Tahoma" w:cs="Tahoma"/>
                <w:bCs/>
                <w:sz w:val="20"/>
                <w:szCs w:val="20"/>
              </w:rPr>
              <w:t>V1</w:t>
            </w:r>
          </w:p>
        </w:tc>
      </w:tr>
      <w:tr w:rsidR="00885CDE" w:rsidRPr="00885CDE" w14:paraId="771F73FC" w14:textId="77777777" w:rsidTr="003D4466">
        <w:tc>
          <w:tcPr>
            <w:tcW w:w="1786" w:type="pct"/>
          </w:tcPr>
          <w:p w14:paraId="723E7543" w14:textId="77777777" w:rsidR="00885CDE" w:rsidRPr="00885CDE" w:rsidRDefault="00885CDE" w:rsidP="00885CDE">
            <w:pPr>
              <w:rPr>
                <w:rFonts w:ascii="Tahoma" w:hAnsi="Tahoma" w:cs="Tahoma"/>
                <w:bCs/>
                <w:sz w:val="20"/>
                <w:szCs w:val="20"/>
              </w:rPr>
            </w:pPr>
            <w:r w:rsidRPr="00885CDE">
              <w:rPr>
                <w:rFonts w:ascii="Tahoma" w:hAnsi="Tahoma" w:cs="Tahoma"/>
                <w:bCs/>
                <w:sz w:val="20"/>
                <w:szCs w:val="20"/>
              </w:rPr>
              <w:t xml:space="preserve">Review Committee: </w:t>
            </w:r>
          </w:p>
        </w:tc>
        <w:tc>
          <w:tcPr>
            <w:tcW w:w="3214" w:type="pct"/>
          </w:tcPr>
          <w:p w14:paraId="61258300" w14:textId="77777777" w:rsidR="00885CDE" w:rsidRPr="00885CDE" w:rsidRDefault="00885CDE" w:rsidP="00885CDE">
            <w:pPr>
              <w:rPr>
                <w:rFonts w:ascii="Tahoma" w:hAnsi="Tahoma" w:cs="Tahoma"/>
                <w:bCs/>
                <w:sz w:val="20"/>
                <w:szCs w:val="20"/>
              </w:rPr>
            </w:pPr>
            <w:r w:rsidRPr="00885CDE">
              <w:rPr>
                <w:rFonts w:ascii="Tahoma" w:hAnsi="Tahoma" w:cs="Tahoma"/>
                <w:bCs/>
                <w:sz w:val="20"/>
                <w:szCs w:val="20"/>
              </w:rPr>
              <w:t>Lightwave Community Council</w:t>
            </w:r>
          </w:p>
        </w:tc>
      </w:tr>
      <w:tr w:rsidR="00885CDE" w:rsidRPr="00885CDE" w14:paraId="59AC9050" w14:textId="77777777" w:rsidTr="003D4466">
        <w:tc>
          <w:tcPr>
            <w:tcW w:w="1786" w:type="pct"/>
          </w:tcPr>
          <w:p w14:paraId="0CB17459" w14:textId="77777777" w:rsidR="00885CDE" w:rsidRPr="00885CDE" w:rsidRDefault="00885CDE" w:rsidP="00885CDE">
            <w:pPr>
              <w:rPr>
                <w:rFonts w:ascii="Tahoma" w:hAnsi="Tahoma" w:cs="Tahoma"/>
                <w:bCs/>
                <w:sz w:val="20"/>
                <w:szCs w:val="20"/>
              </w:rPr>
            </w:pPr>
            <w:r w:rsidRPr="00885CDE">
              <w:rPr>
                <w:rFonts w:ascii="Tahoma" w:hAnsi="Tahoma" w:cs="Tahoma"/>
                <w:bCs/>
                <w:sz w:val="20"/>
                <w:szCs w:val="20"/>
              </w:rPr>
              <w:t>Review period</w:t>
            </w:r>
          </w:p>
        </w:tc>
        <w:tc>
          <w:tcPr>
            <w:tcW w:w="3214" w:type="pct"/>
          </w:tcPr>
          <w:p w14:paraId="0EC94018" w14:textId="77777777" w:rsidR="00885CDE" w:rsidRPr="00885CDE" w:rsidRDefault="00885CDE" w:rsidP="00885CDE">
            <w:pPr>
              <w:rPr>
                <w:rFonts w:ascii="Tahoma" w:hAnsi="Tahoma" w:cs="Tahoma"/>
                <w:bCs/>
                <w:sz w:val="20"/>
                <w:szCs w:val="20"/>
              </w:rPr>
            </w:pPr>
            <w:r w:rsidRPr="00885CDE">
              <w:rPr>
                <w:rFonts w:ascii="Tahoma" w:hAnsi="Tahoma" w:cs="Tahoma"/>
                <w:bCs/>
                <w:sz w:val="20"/>
                <w:szCs w:val="20"/>
              </w:rPr>
              <w:t>3 years</w:t>
            </w:r>
          </w:p>
        </w:tc>
      </w:tr>
      <w:tr w:rsidR="00885CDE" w:rsidRPr="00885CDE" w14:paraId="7EAE43BA" w14:textId="77777777" w:rsidTr="003D4466">
        <w:tc>
          <w:tcPr>
            <w:tcW w:w="1786" w:type="pct"/>
          </w:tcPr>
          <w:p w14:paraId="4C2944B9" w14:textId="77777777" w:rsidR="00885CDE" w:rsidRPr="00885CDE" w:rsidRDefault="00885CDE" w:rsidP="00885CDE">
            <w:pPr>
              <w:rPr>
                <w:rFonts w:ascii="Tahoma" w:hAnsi="Tahoma" w:cs="Tahoma"/>
                <w:bCs/>
                <w:sz w:val="20"/>
                <w:szCs w:val="20"/>
              </w:rPr>
            </w:pPr>
            <w:r w:rsidRPr="00885CDE">
              <w:rPr>
                <w:rFonts w:ascii="Tahoma" w:hAnsi="Tahoma" w:cs="Tahoma"/>
                <w:bCs/>
                <w:sz w:val="20"/>
                <w:szCs w:val="20"/>
              </w:rPr>
              <w:t>Review Date:</w:t>
            </w:r>
          </w:p>
        </w:tc>
        <w:tc>
          <w:tcPr>
            <w:tcW w:w="3214" w:type="pct"/>
          </w:tcPr>
          <w:p w14:paraId="663E4A1E" w14:textId="77777777" w:rsidR="00885CDE" w:rsidRPr="00885CDE" w:rsidRDefault="00885CDE" w:rsidP="00885CDE">
            <w:pPr>
              <w:rPr>
                <w:rFonts w:ascii="Tahoma" w:hAnsi="Tahoma" w:cs="Tahoma"/>
                <w:bCs/>
                <w:sz w:val="20"/>
                <w:szCs w:val="20"/>
              </w:rPr>
            </w:pPr>
            <w:r w:rsidRPr="00885CDE">
              <w:rPr>
                <w:rFonts w:ascii="Tahoma" w:hAnsi="Tahoma" w:cs="Tahoma"/>
                <w:bCs/>
                <w:sz w:val="20"/>
                <w:szCs w:val="20"/>
              </w:rPr>
              <w:t>June 2024</w:t>
            </w:r>
          </w:p>
        </w:tc>
      </w:tr>
      <w:tr w:rsidR="00885CDE" w:rsidRPr="00885CDE" w14:paraId="3F0A6171" w14:textId="77777777" w:rsidTr="003D4466">
        <w:tc>
          <w:tcPr>
            <w:tcW w:w="1786" w:type="pct"/>
          </w:tcPr>
          <w:p w14:paraId="7E6926CF" w14:textId="77777777" w:rsidR="00885CDE" w:rsidRPr="00885CDE" w:rsidRDefault="00885CDE" w:rsidP="00885CDE">
            <w:pPr>
              <w:rPr>
                <w:rFonts w:ascii="Tahoma" w:hAnsi="Tahoma" w:cs="Tahoma"/>
                <w:bCs/>
                <w:sz w:val="20"/>
                <w:szCs w:val="20"/>
              </w:rPr>
            </w:pPr>
            <w:r w:rsidRPr="00885CDE">
              <w:rPr>
                <w:rFonts w:ascii="Tahoma" w:hAnsi="Tahoma" w:cs="Tahoma"/>
                <w:bCs/>
                <w:sz w:val="20"/>
                <w:szCs w:val="20"/>
              </w:rPr>
              <w:t>This policy is referenced/required by these other policies or by these organisations</w:t>
            </w:r>
          </w:p>
        </w:tc>
        <w:tc>
          <w:tcPr>
            <w:tcW w:w="3214" w:type="pct"/>
          </w:tcPr>
          <w:p w14:paraId="2302D74D" w14:textId="77777777" w:rsidR="00885CDE" w:rsidRPr="00885CDE" w:rsidRDefault="00885CDE" w:rsidP="00885CDE">
            <w:pPr>
              <w:rPr>
                <w:rFonts w:ascii="Tahoma" w:hAnsi="Tahoma" w:cs="Tahoma"/>
                <w:bCs/>
                <w:sz w:val="20"/>
                <w:szCs w:val="20"/>
              </w:rPr>
            </w:pPr>
          </w:p>
        </w:tc>
      </w:tr>
      <w:tr w:rsidR="00885CDE" w:rsidRPr="00885CDE" w14:paraId="7D09662D" w14:textId="77777777" w:rsidTr="003D4466">
        <w:tc>
          <w:tcPr>
            <w:tcW w:w="1786" w:type="pct"/>
          </w:tcPr>
          <w:p w14:paraId="0C48F5EF" w14:textId="77777777" w:rsidR="00885CDE" w:rsidRPr="00885CDE" w:rsidRDefault="00885CDE" w:rsidP="00885CDE">
            <w:pPr>
              <w:rPr>
                <w:rFonts w:ascii="Tahoma" w:hAnsi="Tahoma" w:cs="Tahoma"/>
                <w:bCs/>
                <w:sz w:val="20"/>
                <w:szCs w:val="20"/>
              </w:rPr>
            </w:pPr>
            <w:r w:rsidRPr="00885CDE">
              <w:rPr>
                <w:rFonts w:ascii="Tahoma" w:hAnsi="Tahoma" w:cs="Tahoma"/>
                <w:bCs/>
                <w:sz w:val="20"/>
                <w:szCs w:val="20"/>
              </w:rPr>
              <w:t>Source document(s)</w:t>
            </w:r>
          </w:p>
        </w:tc>
        <w:tc>
          <w:tcPr>
            <w:tcW w:w="3214" w:type="pct"/>
          </w:tcPr>
          <w:p w14:paraId="660F890B" w14:textId="77777777" w:rsidR="00885CDE" w:rsidRPr="00885CDE" w:rsidRDefault="00885CDE" w:rsidP="00885CDE">
            <w:pPr>
              <w:rPr>
                <w:rFonts w:ascii="Tahoma" w:hAnsi="Tahoma" w:cs="Tahoma"/>
                <w:bCs/>
                <w:sz w:val="20"/>
                <w:szCs w:val="20"/>
              </w:rPr>
            </w:pPr>
            <w:r w:rsidRPr="00885CDE">
              <w:rPr>
                <w:rFonts w:ascii="Tahoma" w:hAnsi="Tahoma" w:cs="Tahoma"/>
                <w:bCs/>
                <w:sz w:val="20"/>
                <w:szCs w:val="20"/>
              </w:rPr>
              <w:t>This policy is based on that drafted for Lightwave of St Edmundsbury and Ipswich Diocesan Board of Finance</w:t>
            </w:r>
          </w:p>
        </w:tc>
      </w:tr>
    </w:tbl>
    <w:p w14:paraId="6CA1BDDD" w14:textId="77777777" w:rsidR="00885CDE" w:rsidRDefault="00885CDE" w:rsidP="00885CDE">
      <w:pPr>
        <w:jc w:val="center"/>
        <w:rPr>
          <w:b/>
          <w:bCs/>
          <w:sz w:val="18"/>
          <w:szCs w:val="18"/>
        </w:rPr>
      </w:pPr>
    </w:p>
    <w:p w14:paraId="13FDA852" w14:textId="77777777" w:rsidR="00885CDE" w:rsidRPr="00021D76" w:rsidRDefault="00885CDE" w:rsidP="00885CDE">
      <w:pPr>
        <w:jc w:val="center"/>
        <w:rPr>
          <w:sz w:val="18"/>
          <w:szCs w:val="18"/>
        </w:rPr>
      </w:pPr>
      <w:r w:rsidRPr="00021D76">
        <w:rPr>
          <w:sz w:val="18"/>
          <w:szCs w:val="18"/>
        </w:rPr>
        <w:t>Lightwave Community CIO is registered with the Charities Commission of England and Wales, No. 1193242</w:t>
      </w:r>
    </w:p>
    <w:p w14:paraId="052F0DF6" w14:textId="77777777" w:rsidR="00885CDE" w:rsidRDefault="00885CDE" w:rsidP="00885CDE">
      <w:pPr>
        <w:jc w:val="center"/>
        <w:rPr>
          <w:color w:val="000000"/>
        </w:rPr>
      </w:pPr>
      <w:r w:rsidRPr="00021D76">
        <w:rPr>
          <w:sz w:val="18"/>
          <w:szCs w:val="18"/>
        </w:rPr>
        <w:t>Registered office: St Nicholas Centre, 4 Cutler Street, Ipswich, IP1 1UQ</w:t>
      </w:r>
    </w:p>
    <w:p w14:paraId="36BDC573" w14:textId="77777777" w:rsidR="00885CDE" w:rsidRPr="00753DED" w:rsidRDefault="00885CDE" w:rsidP="003D1139">
      <w:pPr>
        <w:rPr>
          <w:rFonts w:ascii="Tahoma" w:hAnsi="Tahoma" w:cs="Tahoma"/>
        </w:rPr>
      </w:pPr>
    </w:p>
    <w:p w14:paraId="483F0627" w14:textId="77777777" w:rsidR="00B72534" w:rsidRPr="00753DED" w:rsidRDefault="00B72534" w:rsidP="003D1139">
      <w:pPr>
        <w:rPr>
          <w:rFonts w:ascii="Tahoma" w:hAnsi="Tahoma" w:cs="Tahoma"/>
        </w:rPr>
      </w:pPr>
    </w:p>
    <w:sectPr w:rsidR="00B72534" w:rsidRPr="00753DED" w:rsidSect="007160FE">
      <w:headerReference w:type="default" r:id="rId7"/>
      <w:footerReference w:type="default" r:id="rId8"/>
      <w:headerReference w:type="first" r:id="rId9"/>
      <w:footerReference w:type="first" r:id="rId10"/>
      <w:pgSz w:w="12240" w:h="15840" w:code="1"/>
      <w:pgMar w:top="1134" w:right="1134" w:bottom="1134" w:left="1418"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AD8734" w14:textId="77777777" w:rsidR="00C73647" w:rsidRDefault="00C73647">
      <w:r>
        <w:separator/>
      </w:r>
    </w:p>
  </w:endnote>
  <w:endnote w:type="continuationSeparator" w:id="0">
    <w:p w14:paraId="67C257ED" w14:textId="77777777" w:rsidR="00C73647" w:rsidRDefault="00C73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BF038" w14:textId="77777777" w:rsidR="004439B5" w:rsidRPr="004439B5" w:rsidRDefault="004B19BF">
    <w:pPr>
      <w:pStyle w:val="Footer"/>
      <w:jc w:val="center"/>
      <w:rPr>
        <w:rFonts w:ascii="Arial" w:hAnsi="Arial" w:cs="Arial"/>
        <w:sz w:val="20"/>
        <w:szCs w:val="20"/>
      </w:rPr>
    </w:pPr>
    <w:r w:rsidRPr="004439B5">
      <w:rPr>
        <w:rFonts w:ascii="Arial" w:hAnsi="Arial" w:cs="Arial"/>
        <w:sz w:val="20"/>
        <w:szCs w:val="20"/>
      </w:rPr>
      <w:fldChar w:fldCharType="begin"/>
    </w:r>
    <w:r w:rsidRPr="004439B5">
      <w:rPr>
        <w:rFonts w:ascii="Arial" w:hAnsi="Arial" w:cs="Arial"/>
        <w:sz w:val="20"/>
        <w:szCs w:val="20"/>
      </w:rPr>
      <w:instrText xml:space="preserve"> PAGE   \* MERGEFORMAT </w:instrText>
    </w:r>
    <w:r w:rsidRPr="004439B5">
      <w:rPr>
        <w:rFonts w:ascii="Arial" w:hAnsi="Arial" w:cs="Arial"/>
        <w:sz w:val="20"/>
        <w:szCs w:val="20"/>
      </w:rPr>
      <w:fldChar w:fldCharType="separate"/>
    </w:r>
    <w:r w:rsidR="00A31083">
      <w:rPr>
        <w:rFonts w:ascii="Arial" w:hAnsi="Arial" w:cs="Arial"/>
        <w:noProof/>
        <w:sz w:val="20"/>
        <w:szCs w:val="20"/>
      </w:rPr>
      <w:t>3</w:t>
    </w:r>
    <w:r w:rsidRPr="004439B5">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4727888"/>
      <w:docPartObj>
        <w:docPartGallery w:val="Page Numbers (Bottom of Page)"/>
        <w:docPartUnique/>
      </w:docPartObj>
    </w:sdtPr>
    <w:sdtEndPr/>
    <w:sdtContent>
      <w:sdt>
        <w:sdtPr>
          <w:id w:val="1728636285"/>
          <w:docPartObj>
            <w:docPartGallery w:val="Page Numbers (Top of Page)"/>
            <w:docPartUnique/>
          </w:docPartObj>
        </w:sdtPr>
        <w:sdtEndPr/>
        <w:sdtContent>
          <w:p w14:paraId="61C09CD7" w14:textId="061D34D1" w:rsidR="00EC10FD" w:rsidRDefault="00EC10FD">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64835C4" w14:textId="77777777" w:rsidR="00EC10FD" w:rsidRDefault="00EC1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A129B3" w14:textId="77777777" w:rsidR="00C73647" w:rsidRDefault="00C73647">
      <w:r>
        <w:separator/>
      </w:r>
    </w:p>
  </w:footnote>
  <w:footnote w:type="continuationSeparator" w:id="0">
    <w:p w14:paraId="2D147DB8" w14:textId="77777777" w:rsidR="00C73647" w:rsidRDefault="00C73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5A49B" w14:textId="77777777" w:rsidR="00081842" w:rsidRPr="00A94F08" w:rsidRDefault="00081842" w:rsidP="00081842">
    <w:pPr>
      <w:pStyle w:val="Header"/>
    </w:pPr>
  </w:p>
  <w:p w14:paraId="0DF8BE54" w14:textId="77777777" w:rsidR="00667B10" w:rsidRDefault="00081842" w:rsidP="00081842">
    <w:pPr>
      <w:pStyle w:val="Header"/>
      <w:tabs>
        <w:tab w:val="left" w:pos="1200"/>
      </w:tabs>
      <w:rPr>
        <w:rFonts w:ascii="Arial" w:hAnsi="Arial" w:cs="Arial"/>
        <w:b/>
        <w:color w:val="999999"/>
      </w:rPr>
    </w:pPr>
    <w:r>
      <w:rPr>
        <w:rFonts w:ascii="Arial" w:hAnsi="Arial" w:cs="Arial"/>
        <w:b/>
        <w:color w:val="999999"/>
      </w:rPr>
      <w:tab/>
    </w:r>
    <w:r>
      <w:rPr>
        <w:rFonts w:ascii="Arial" w:hAnsi="Arial" w:cs="Arial"/>
        <w:b/>
        <w:color w:val="999999"/>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23525" w14:textId="5AA67B66" w:rsidR="00081842" w:rsidRDefault="003E2D38">
    <w:pPr>
      <w:pStyle w:val="Header"/>
    </w:pPr>
    <w:r>
      <w:rPr>
        <w:noProof/>
      </w:rPr>
      <w:drawing>
        <wp:inline distT="0" distB="0" distL="0" distR="0" wp14:anchorId="3FD8E90C" wp14:editId="1BD72A3B">
          <wp:extent cx="3028950" cy="668829"/>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42916" cy="671913"/>
                  </a:xfrm>
                  <a:prstGeom prst="rect">
                    <a:avLst/>
                  </a:prstGeom>
                </pic:spPr>
              </pic:pic>
            </a:graphicData>
          </a:graphic>
        </wp:inline>
      </w:drawing>
    </w:r>
    <w:r w:rsidR="00F8640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11507"/>
    <w:multiLevelType w:val="multilevel"/>
    <w:tmpl w:val="FCC6FAC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070430"/>
    <w:multiLevelType w:val="multilevel"/>
    <w:tmpl w:val="FFCAA8DC"/>
    <w:lvl w:ilvl="0">
      <w:start w:val="1"/>
      <w:numFmt w:val="decimal"/>
      <w:lvlText w:val="%1."/>
      <w:lvlJc w:val="left"/>
      <w:pPr>
        <w:ind w:left="360" w:hanging="360"/>
      </w:p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BB2885"/>
    <w:multiLevelType w:val="hybridMultilevel"/>
    <w:tmpl w:val="8822295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52594C"/>
    <w:multiLevelType w:val="hybridMultilevel"/>
    <w:tmpl w:val="FC56F6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AA45831"/>
    <w:multiLevelType w:val="multilevel"/>
    <w:tmpl w:val="768A287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B016376"/>
    <w:multiLevelType w:val="multilevel"/>
    <w:tmpl w:val="F80C7C0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4B469F8"/>
    <w:multiLevelType w:val="hybridMultilevel"/>
    <w:tmpl w:val="3B28FF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E3A4A6C"/>
    <w:multiLevelType w:val="multilevel"/>
    <w:tmpl w:val="BF6E97E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63579EE"/>
    <w:multiLevelType w:val="hybridMultilevel"/>
    <w:tmpl w:val="3B28FF6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96A53B2"/>
    <w:multiLevelType w:val="hybridMultilevel"/>
    <w:tmpl w:val="A544B620"/>
    <w:lvl w:ilvl="0" w:tplc="08090001">
      <w:start w:val="1"/>
      <w:numFmt w:val="bullet"/>
      <w:lvlText w:val=""/>
      <w:lvlJc w:val="left"/>
      <w:pPr>
        <w:ind w:left="-1400" w:hanging="360"/>
      </w:pPr>
      <w:rPr>
        <w:rFonts w:ascii="Symbol" w:hAnsi="Symbol" w:hint="default"/>
      </w:rPr>
    </w:lvl>
    <w:lvl w:ilvl="1" w:tplc="08090019" w:tentative="1">
      <w:start w:val="1"/>
      <w:numFmt w:val="lowerLetter"/>
      <w:lvlText w:val="%2."/>
      <w:lvlJc w:val="left"/>
      <w:pPr>
        <w:ind w:left="-680" w:hanging="360"/>
      </w:pPr>
    </w:lvl>
    <w:lvl w:ilvl="2" w:tplc="0809001B" w:tentative="1">
      <w:start w:val="1"/>
      <w:numFmt w:val="lowerRoman"/>
      <w:lvlText w:val="%3."/>
      <w:lvlJc w:val="right"/>
      <w:pPr>
        <w:ind w:left="40" w:hanging="180"/>
      </w:pPr>
    </w:lvl>
    <w:lvl w:ilvl="3" w:tplc="0809000F" w:tentative="1">
      <w:start w:val="1"/>
      <w:numFmt w:val="decimal"/>
      <w:lvlText w:val="%4."/>
      <w:lvlJc w:val="left"/>
      <w:pPr>
        <w:ind w:left="760" w:hanging="360"/>
      </w:pPr>
    </w:lvl>
    <w:lvl w:ilvl="4" w:tplc="08090019" w:tentative="1">
      <w:start w:val="1"/>
      <w:numFmt w:val="lowerLetter"/>
      <w:lvlText w:val="%5."/>
      <w:lvlJc w:val="left"/>
      <w:pPr>
        <w:ind w:left="1480" w:hanging="360"/>
      </w:pPr>
    </w:lvl>
    <w:lvl w:ilvl="5" w:tplc="0809001B" w:tentative="1">
      <w:start w:val="1"/>
      <w:numFmt w:val="lowerRoman"/>
      <w:lvlText w:val="%6."/>
      <w:lvlJc w:val="right"/>
      <w:pPr>
        <w:ind w:left="2200" w:hanging="180"/>
      </w:pPr>
    </w:lvl>
    <w:lvl w:ilvl="6" w:tplc="0809000F" w:tentative="1">
      <w:start w:val="1"/>
      <w:numFmt w:val="decimal"/>
      <w:lvlText w:val="%7."/>
      <w:lvlJc w:val="left"/>
      <w:pPr>
        <w:ind w:left="2920" w:hanging="360"/>
      </w:pPr>
    </w:lvl>
    <w:lvl w:ilvl="7" w:tplc="08090019" w:tentative="1">
      <w:start w:val="1"/>
      <w:numFmt w:val="lowerLetter"/>
      <w:lvlText w:val="%8."/>
      <w:lvlJc w:val="left"/>
      <w:pPr>
        <w:ind w:left="3640" w:hanging="360"/>
      </w:pPr>
    </w:lvl>
    <w:lvl w:ilvl="8" w:tplc="0809001B" w:tentative="1">
      <w:start w:val="1"/>
      <w:numFmt w:val="lowerRoman"/>
      <w:lvlText w:val="%9."/>
      <w:lvlJc w:val="right"/>
      <w:pPr>
        <w:ind w:left="4360" w:hanging="180"/>
      </w:pPr>
    </w:lvl>
  </w:abstractNum>
  <w:abstractNum w:abstractNumId="10" w15:restartNumberingAfterBreak="0">
    <w:nsid w:val="6D2151B0"/>
    <w:multiLevelType w:val="multilevel"/>
    <w:tmpl w:val="019E6D54"/>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73B9403B"/>
    <w:multiLevelType w:val="multilevel"/>
    <w:tmpl w:val="BB84563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2"/>
  </w:num>
  <w:num w:numId="3">
    <w:abstractNumId w:val="9"/>
  </w:num>
  <w:num w:numId="4">
    <w:abstractNumId w:val="1"/>
  </w:num>
  <w:num w:numId="5">
    <w:abstractNumId w:val="3"/>
  </w:num>
  <w:num w:numId="6">
    <w:abstractNumId w:val="8"/>
  </w:num>
  <w:num w:numId="7">
    <w:abstractNumId w:val="6"/>
  </w:num>
  <w:num w:numId="8">
    <w:abstractNumId w:val="4"/>
  </w:num>
  <w:num w:numId="9">
    <w:abstractNumId w:val="0"/>
  </w:num>
  <w:num w:numId="10">
    <w:abstractNumId w:val="1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9BF"/>
    <w:rsid w:val="00015F38"/>
    <w:rsid w:val="00081842"/>
    <w:rsid w:val="00193456"/>
    <w:rsid w:val="001B0F00"/>
    <w:rsid w:val="00267326"/>
    <w:rsid w:val="003502FF"/>
    <w:rsid w:val="00362061"/>
    <w:rsid w:val="003A6FA8"/>
    <w:rsid w:val="003D1139"/>
    <w:rsid w:val="003E2D38"/>
    <w:rsid w:val="004B19BF"/>
    <w:rsid w:val="00656E1C"/>
    <w:rsid w:val="00675834"/>
    <w:rsid w:val="007160FE"/>
    <w:rsid w:val="007250E7"/>
    <w:rsid w:val="00745596"/>
    <w:rsid w:val="00753DED"/>
    <w:rsid w:val="00781DEB"/>
    <w:rsid w:val="007C6140"/>
    <w:rsid w:val="007E2D02"/>
    <w:rsid w:val="0082476C"/>
    <w:rsid w:val="00885CDE"/>
    <w:rsid w:val="00921BED"/>
    <w:rsid w:val="009B6EA3"/>
    <w:rsid w:val="00A25363"/>
    <w:rsid w:val="00A31083"/>
    <w:rsid w:val="00A45C7F"/>
    <w:rsid w:val="00A723EC"/>
    <w:rsid w:val="00A825B4"/>
    <w:rsid w:val="00B469DC"/>
    <w:rsid w:val="00B5255E"/>
    <w:rsid w:val="00B72534"/>
    <w:rsid w:val="00BA0068"/>
    <w:rsid w:val="00BB121C"/>
    <w:rsid w:val="00C2010C"/>
    <w:rsid w:val="00C2524F"/>
    <w:rsid w:val="00C360D1"/>
    <w:rsid w:val="00C443E2"/>
    <w:rsid w:val="00C54506"/>
    <w:rsid w:val="00C608D5"/>
    <w:rsid w:val="00C71BEC"/>
    <w:rsid w:val="00C73647"/>
    <w:rsid w:val="00C9216C"/>
    <w:rsid w:val="00D132C3"/>
    <w:rsid w:val="00E312D0"/>
    <w:rsid w:val="00E6701E"/>
    <w:rsid w:val="00EC10FD"/>
    <w:rsid w:val="00F77A1B"/>
    <w:rsid w:val="00F8640F"/>
    <w:rsid w:val="00FC1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70AB8"/>
  <w15:docId w15:val="{DD6C9CCD-2DC7-4AAA-991C-96C55CE72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9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B19BF"/>
    <w:pPr>
      <w:tabs>
        <w:tab w:val="center" w:pos="4320"/>
        <w:tab w:val="right" w:pos="8640"/>
      </w:tabs>
    </w:pPr>
  </w:style>
  <w:style w:type="character" w:customStyle="1" w:styleId="HeaderChar">
    <w:name w:val="Header Char"/>
    <w:basedOn w:val="DefaultParagraphFont"/>
    <w:link w:val="Header"/>
    <w:rsid w:val="004B19BF"/>
    <w:rPr>
      <w:rFonts w:ascii="Times New Roman" w:eastAsia="Times New Roman" w:hAnsi="Times New Roman" w:cs="Times New Roman"/>
      <w:sz w:val="24"/>
      <w:szCs w:val="24"/>
    </w:rPr>
  </w:style>
  <w:style w:type="paragraph" w:styleId="Footer">
    <w:name w:val="footer"/>
    <w:basedOn w:val="Normal"/>
    <w:link w:val="FooterChar"/>
    <w:uiPriority w:val="99"/>
    <w:rsid w:val="004B19BF"/>
    <w:pPr>
      <w:tabs>
        <w:tab w:val="center" w:pos="4320"/>
        <w:tab w:val="right" w:pos="8640"/>
      </w:tabs>
    </w:pPr>
  </w:style>
  <w:style w:type="character" w:customStyle="1" w:styleId="FooterChar">
    <w:name w:val="Footer Char"/>
    <w:basedOn w:val="DefaultParagraphFont"/>
    <w:link w:val="Footer"/>
    <w:uiPriority w:val="99"/>
    <w:rsid w:val="004B19BF"/>
    <w:rPr>
      <w:rFonts w:ascii="Times New Roman" w:eastAsia="Times New Roman" w:hAnsi="Times New Roman" w:cs="Times New Roman"/>
      <w:sz w:val="24"/>
      <w:szCs w:val="24"/>
    </w:rPr>
  </w:style>
  <w:style w:type="paragraph" w:customStyle="1" w:styleId="text">
    <w:name w:val="text"/>
    <w:basedOn w:val="Normal"/>
    <w:rsid w:val="004B19BF"/>
    <w:pPr>
      <w:widowControl w:val="0"/>
      <w:autoSpaceDE w:val="0"/>
      <w:autoSpaceDN w:val="0"/>
      <w:adjustRightInd w:val="0"/>
      <w:spacing w:after="170" w:line="280" w:lineRule="atLeast"/>
      <w:jc w:val="both"/>
      <w:textAlignment w:val="baseline"/>
    </w:pPr>
    <w:rPr>
      <w:rFonts w:ascii="NewCenturySchlbk" w:hAnsi="NewCenturySchlbk" w:cs="NewCenturySchlbk"/>
      <w:color w:val="000000"/>
      <w:spacing w:val="-10"/>
      <w:sz w:val="22"/>
      <w:szCs w:val="22"/>
    </w:rPr>
  </w:style>
  <w:style w:type="paragraph" w:customStyle="1" w:styleId="text-bullet">
    <w:name w:val="text - bullet"/>
    <w:basedOn w:val="text"/>
    <w:rsid w:val="004B19BF"/>
    <w:pPr>
      <w:widowControl/>
      <w:tabs>
        <w:tab w:val="left" w:pos="283"/>
        <w:tab w:val="center" w:leader="dot" w:pos="7483"/>
        <w:tab w:val="center" w:pos="7937"/>
      </w:tabs>
      <w:suppressAutoHyphens/>
      <w:ind w:left="283" w:hanging="283"/>
    </w:pPr>
    <w:rPr>
      <w:rFonts w:ascii="Times New Roman" w:hAnsi="Times New Roman" w:cs="Times New Roman"/>
      <w:spacing w:val="0"/>
      <w:sz w:val="24"/>
      <w:szCs w:val="24"/>
    </w:rPr>
  </w:style>
  <w:style w:type="paragraph" w:customStyle="1" w:styleId="Title2">
    <w:name w:val="Title2"/>
    <w:basedOn w:val="Normal"/>
    <w:rsid w:val="004B19BF"/>
    <w:pPr>
      <w:widowControl w:val="0"/>
      <w:autoSpaceDE w:val="0"/>
      <w:autoSpaceDN w:val="0"/>
      <w:adjustRightInd w:val="0"/>
      <w:spacing w:after="850" w:line="320" w:lineRule="atLeast"/>
      <w:jc w:val="center"/>
      <w:textAlignment w:val="baseline"/>
    </w:pPr>
    <w:rPr>
      <w:rFonts w:ascii="Helvetica" w:hAnsi="Helvetica" w:cs="Helvetica"/>
      <w:caps/>
      <w:color w:val="000000"/>
      <w:spacing w:val="-4"/>
      <w:sz w:val="28"/>
      <w:szCs w:val="28"/>
    </w:rPr>
  </w:style>
  <w:style w:type="paragraph" w:customStyle="1" w:styleId="Subtitle2">
    <w:name w:val="Subtitle2"/>
    <w:basedOn w:val="Normal"/>
    <w:rsid w:val="004B19BF"/>
    <w:pPr>
      <w:keepNext/>
      <w:suppressAutoHyphens/>
      <w:autoSpaceDE w:val="0"/>
      <w:autoSpaceDN w:val="0"/>
      <w:adjustRightInd w:val="0"/>
      <w:spacing w:before="113" w:after="170" w:line="280" w:lineRule="atLeast"/>
      <w:textAlignment w:val="baseline"/>
    </w:pPr>
    <w:rPr>
      <w:b/>
      <w:bCs/>
      <w:color w:val="000000"/>
    </w:rPr>
  </w:style>
  <w:style w:type="paragraph" w:styleId="BalloonText">
    <w:name w:val="Balloon Text"/>
    <w:basedOn w:val="Normal"/>
    <w:link w:val="BalloonTextChar"/>
    <w:uiPriority w:val="99"/>
    <w:semiHidden/>
    <w:unhideWhenUsed/>
    <w:rsid w:val="00F77A1B"/>
    <w:rPr>
      <w:rFonts w:ascii="Tahoma" w:hAnsi="Tahoma" w:cs="Tahoma"/>
      <w:sz w:val="16"/>
      <w:szCs w:val="16"/>
    </w:rPr>
  </w:style>
  <w:style w:type="character" w:customStyle="1" w:styleId="BalloonTextChar">
    <w:name w:val="Balloon Text Char"/>
    <w:basedOn w:val="DefaultParagraphFont"/>
    <w:link w:val="BalloonText"/>
    <w:uiPriority w:val="99"/>
    <w:semiHidden/>
    <w:rsid w:val="00F77A1B"/>
    <w:rPr>
      <w:rFonts w:ascii="Tahoma" w:eastAsia="Times New Roman" w:hAnsi="Tahoma" w:cs="Tahoma"/>
      <w:sz w:val="16"/>
      <w:szCs w:val="16"/>
    </w:rPr>
  </w:style>
  <w:style w:type="paragraph" w:styleId="ListParagraph">
    <w:name w:val="List Paragraph"/>
    <w:basedOn w:val="Normal"/>
    <w:uiPriority w:val="34"/>
    <w:qFormat/>
    <w:rsid w:val="00A825B4"/>
    <w:pPr>
      <w:ind w:left="720"/>
      <w:contextualSpacing/>
    </w:pPr>
  </w:style>
  <w:style w:type="table" w:styleId="TableGrid">
    <w:name w:val="Table Grid"/>
    <w:basedOn w:val="TableNormal"/>
    <w:uiPriority w:val="39"/>
    <w:rsid w:val="0067583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142492">
      <w:bodyDiv w:val="1"/>
      <w:marLeft w:val="0"/>
      <w:marRight w:val="0"/>
      <w:marTop w:val="0"/>
      <w:marBottom w:val="0"/>
      <w:divBdr>
        <w:top w:val="none" w:sz="0" w:space="0" w:color="auto"/>
        <w:left w:val="none" w:sz="0" w:space="0" w:color="auto"/>
        <w:bottom w:val="none" w:sz="0" w:space="0" w:color="auto"/>
        <w:right w:val="none" w:sz="0" w:space="0" w:color="auto"/>
      </w:divBdr>
    </w:div>
    <w:div w:id="634413639">
      <w:bodyDiv w:val="1"/>
      <w:marLeft w:val="0"/>
      <w:marRight w:val="0"/>
      <w:marTop w:val="0"/>
      <w:marBottom w:val="0"/>
      <w:divBdr>
        <w:top w:val="none" w:sz="0" w:space="0" w:color="auto"/>
        <w:left w:val="none" w:sz="0" w:space="0" w:color="auto"/>
        <w:bottom w:val="none" w:sz="0" w:space="0" w:color="auto"/>
        <w:right w:val="none" w:sz="0" w:space="0" w:color="auto"/>
      </w:divBdr>
    </w:div>
    <w:div w:id="65025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1378</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Lock Lisa</dc:creator>
  <cp:lastModifiedBy>Andrew Gosden</cp:lastModifiedBy>
  <cp:revision>3</cp:revision>
  <cp:lastPrinted>2020-11-17T14:08:00Z</cp:lastPrinted>
  <dcterms:created xsi:type="dcterms:W3CDTF">2021-06-10T14:48:00Z</dcterms:created>
  <dcterms:modified xsi:type="dcterms:W3CDTF">2021-06-17T14:42:00Z</dcterms:modified>
</cp:coreProperties>
</file>